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b/>
          <w:bCs/>
          <w:i w:val="0"/>
          <w:iCs w:val="0"/>
          <w:caps w:val="0"/>
          <w:color w:val="333333"/>
          <w:spacing w:val="0"/>
          <w:sz w:val="24"/>
          <w:szCs w:val="24"/>
        </w:rPr>
      </w:pPr>
    </w:p>
    <w:p>
      <w:pPr>
        <w:pStyle w:val="2"/>
        <w:keepNext w:val="0"/>
        <w:keepLines w:val="0"/>
        <w:widowControl/>
        <w:suppressLineNumbers w:val="0"/>
        <w:shd w:val="clear" w:fill="FFFFFF"/>
        <w:spacing w:before="0" w:beforeAutospacing="0" w:after="150" w:afterAutospacing="0"/>
        <w:ind w:left="0" w:right="0" w:firstLine="0"/>
        <w:jc w:val="center"/>
        <w:rPr>
          <w:rFonts w:hint="eastAsia" w:asciiTheme="majorEastAsia" w:hAnsiTheme="majorEastAsia" w:eastAsiaTheme="majorEastAsia" w:cstheme="majorEastAsia"/>
          <w:b/>
          <w:bCs/>
          <w:i w:val="0"/>
          <w:iCs w:val="0"/>
          <w:caps w:val="0"/>
          <w:color w:val="333333"/>
          <w:spacing w:val="0"/>
          <w:sz w:val="32"/>
          <w:szCs w:val="32"/>
          <w:shd w:val="clear" w:fill="FFFFFF"/>
        </w:rPr>
      </w:pPr>
      <w:r>
        <w:rPr>
          <w:rFonts w:hint="eastAsia" w:asciiTheme="majorEastAsia" w:hAnsiTheme="majorEastAsia" w:eastAsiaTheme="majorEastAsia" w:cstheme="majorEastAsia"/>
          <w:b/>
          <w:bCs/>
          <w:i w:val="0"/>
          <w:iCs w:val="0"/>
          <w:caps w:val="0"/>
          <w:color w:val="333333"/>
          <w:spacing w:val="0"/>
          <w:sz w:val="32"/>
          <w:szCs w:val="32"/>
          <w:shd w:val="clear" w:fill="FFFFFF"/>
        </w:rPr>
        <w:t>2022年四川特色哲学社会科学规划项目高校思想政治</w:t>
      </w:r>
    </w:p>
    <w:p>
      <w:pPr>
        <w:pStyle w:val="2"/>
        <w:keepNext w:val="0"/>
        <w:keepLines w:val="0"/>
        <w:widowControl/>
        <w:suppressLineNumbers w:val="0"/>
        <w:shd w:val="clear" w:fill="FFFFFF"/>
        <w:spacing w:before="0" w:beforeAutospacing="0" w:after="150" w:afterAutospacing="0"/>
        <w:ind w:left="0" w:right="0" w:firstLine="0"/>
        <w:jc w:val="center"/>
        <w:rPr>
          <w:rFonts w:hint="eastAsia" w:asciiTheme="majorEastAsia" w:hAnsiTheme="majorEastAsia" w:eastAsiaTheme="majorEastAsia" w:cstheme="majorEastAsia"/>
          <w:b/>
          <w:bCs/>
          <w:i w:val="0"/>
          <w:iCs w:val="0"/>
          <w:caps w:val="0"/>
          <w:color w:val="333333"/>
          <w:spacing w:val="0"/>
          <w:sz w:val="32"/>
          <w:szCs w:val="32"/>
        </w:rPr>
      </w:pPr>
      <w:r>
        <w:rPr>
          <w:rFonts w:hint="eastAsia" w:asciiTheme="majorEastAsia" w:hAnsiTheme="majorEastAsia" w:eastAsiaTheme="majorEastAsia" w:cstheme="majorEastAsia"/>
          <w:b/>
          <w:bCs/>
          <w:i w:val="0"/>
          <w:iCs w:val="0"/>
          <w:caps w:val="0"/>
          <w:color w:val="333333"/>
          <w:spacing w:val="0"/>
          <w:sz w:val="32"/>
          <w:szCs w:val="32"/>
          <w:shd w:val="clear" w:fill="FFFFFF"/>
        </w:rPr>
        <w:t>理论课研究专项选题指南</w:t>
      </w:r>
      <w:bookmarkStart w:id="0" w:name="_GoBack"/>
      <w:bookmarkEnd w:id="0"/>
    </w:p>
    <w:p>
      <w:pPr>
        <w:pStyle w:val="2"/>
        <w:keepNext w:val="0"/>
        <w:keepLines w:val="0"/>
        <w:widowControl/>
        <w:suppressLineNumbers w:val="0"/>
        <w:shd w:val="clear" w:fill="FFFFFF"/>
        <w:spacing w:before="0" w:beforeAutospacing="0" w:after="150" w:afterAutospacing="0"/>
        <w:ind w:left="0" w:right="0" w:firstLine="0"/>
        <w:jc w:val="center"/>
        <w:rPr>
          <w:rFonts w:hint="default" w:ascii="Helvetica" w:hAnsi="Helvetica" w:eastAsia="Helvetica" w:cs="Helvetica"/>
          <w:i w:val="0"/>
          <w:iCs w:val="0"/>
          <w:caps w:val="0"/>
          <w:color w:val="333333"/>
          <w:spacing w:val="0"/>
          <w:sz w:val="24"/>
          <w:szCs w:val="24"/>
        </w:rPr>
      </w:pP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 在高校思想政治理论课中进一步加强习近平新时代中国 特色社会主义思想教育教学研究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 构建新时代学校思想政治理论课教育体系研究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3. 全面加强各级党委对思想政治理论课建设的领导研究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4. “两个结合”融入高校思想政治理论课教学研究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5. “两个确立”融入高校思想政治理论课教学研究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6. 铸牢中华民族共同体意识融入立德树人全过程研究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7. 培育和践行社会主义核心价值观融入大学生思想政治教育工作全过程研究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8. 发挥红色文化资源的教育功能研究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9. 中共党史党建学融入学校思想政治理论课教学研究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10. 中国共产党精神谱系融入学校思想政治理论课教学研究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11. 推动理想信念教育常态化制度化研究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12. 高校思想政治理论课培育大学生大历史观和增强历史自信研究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13. 新时代大学生价值观教育引导研究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14. 大学生思想政治状况评价指标体系建设研究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15. 加强新时代大中小学爱国主义教育研究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16. 加强新时代马克思主义学院建设研究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17. 构建新时代学校思想政治工作体系研究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18. 高校思想政治理论课考核评价研究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19. 职业院校思想政治理论课改革创新研究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20. 加强民办高校思想政治理论课建设研究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21. 推动新时代家庭家教家风建设高质量发展研究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22. 全面加强和改进新时代学校美育工作研究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23. 艺术教育与思想政治教育有机融合研究</w:t>
      </w:r>
    </w:p>
    <w:p>
      <w:pPr>
        <w:pStyle w:val="2"/>
        <w:keepNext w:val="0"/>
        <w:keepLines w:val="0"/>
        <w:widowControl/>
        <w:suppressLineNumbers w:val="0"/>
        <w:shd w:val="clear" w:fill="FFFFFF"/>
        <w:spacing w:before="0" w:beforeAutospacing="0" w:after="150" w:afterAutospacing="0" w:line="240" w:lineRule="auto"/>
        <w:ind w:left="0" w:right="0" w:firstLine="0"/>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　　24. 网络传播的价值导向与青少年思想引领研究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E5MTg5ZmRlNWE2OTJmMDNiZjEyMGY0M2QzYmIifQ=="/>
  </w:docVars>
  <w:rsids>
    <w:rsidRoot w:val="63F465AC"/>
    <w:rsid w:val="0D883E57"/>
    <w:rsid w:val="63F46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545</Words>
  <Characters>587</Characters>
  <Lines>0</Lines>
  <Paragraphs>0</Paragraphs>
  <TotalTime>1</TotalTime>
  <ScaleCrop>false</ScaleCrop>
  <LinksUpToDate>false</LinksUpToDate>
  <CharactersWithSpaces>660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2022-08-23T08:40:00Z</dcterms:created>
  <dc:creator>科研处与发展规划处</dc:creator>
  <cp:lastModifiedBy>科研处与发展规划处</cp:lastModifiedBy>
  <dcterms:modified xsi:type="dcterms:W3CDTF">2022-08-23T08:42:03Z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E6ACF24495A945258EAE405AF7288219</vt:lpwstr>
  </property>
</Properties>
</file>