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numPr>
          <w:ilvl w:val="0"/>
          <w:numId w:val="0"/>
        </w:numPr>
        <w:kinsoku/>
        <w:wordWrap/>
        <w:bidi w:val="0"/>
        <w:spacing w:line="500" w:lineRule="exact"/>
        <w:jc w:val="both"/>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附件4</w:t>
      </w:r>
    </w:p>
    <w:p>
      <w:pPr>
        <w:pStyle w:val="5"/>
        <w:pageBreakBefore w:val="0"/>
        <w:widowControl w:val="0"/>
        <w:numPr>
          <w:ilvl w:val="0"/>
          <w:numId w:val="0"/>
        </w:numPr>
        <w:kinsoku/>
        <w:wordWrap/>
        <w:bidi w:val="0"/>
        <w:spacing w:line="500" w:lineRule="exact"/>
        <w:jc w:val="center"/>
        <w:rPr>
          <w:rFonts w:hint="default" w:ascii="Times New Roman" w:hAnsi="Times New Roman" w:eastAsia="方正小标宋_GBK" w:cs="Times New Roman"/>
          <w:sz w:val="44"/>
          <w:szCs w:val="4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2023年</w:t>
      </w:r>
      <w:r>
        <w:rPr>
          <w:rFonts w:hint="default" w:ascii="Times New Roman" w:hAnsi="Times New Roman" w:eastAsia="方正小标宋_GBK" w:cs="Times New Roman"/>
          <w:sz w:val="44"/>
          <w:szCs w:val="44"/>
          <w:lang w:val="en-US" w:eastAsia="zh-CN"/>
        </w:rPr>
        <w:t>科技创新基地（平台）和人才计划</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申报指南</w:t>
      </w:r>
    </w:p>
    <w:p>
      <w:pPr>
        <w:pStyle w:val="5"/>
        <w:pageBreakBefore w:val="0"/>
        <w:widowControl w:val="0"/>
        <w:numPr>
          <w:ilvl w:val="0"/>
          <w:numId w:val="0"/>
        </w:numPr>
        <w:kinsoku/>
        <w:wordWrap/>
        <w:bidi w:val="0"/>
        <w:spacing w:line="500" w:lineRule="exact"/>
        <w:ind w:firstLine="640" w:firstLineChars="200"/>
        <w:jc w:val="both"/>
        <w:rPr>
          <w:rFonts w:hint="default" w:ascii="Times New Roman" w:hAnsi="Times New Roman" w:eastAsia="黑体" w:cs="Times New Roman"/>
          <w:sz w:val="32"/>
          <w:szCs w:val="32"/>
          <w:lang w:val="en-US" w:eastAsia="zh-CN"/>
        </w:rPr>
      </w:pPr>
    </w:p>
    <w:p>
      <w:pPr>
        <w:pStyle w:val="5"/>
        <w:keepNext w:val="0"/>
        <w:keepLines w:val="0"/>
        <w:pageBreakBefore w:val="0"/>
        <w:widowControl w:val="0"/>
        <w:numPr>
          <w:ilvl w:val="0"/>
          <w:numId w:val="0"/>
        </w:numPr>
        <w:kinsoku/>
        <w:wordWrap/>
        <w:overflowPunct/>
        <w:topLinePunct w:val="0"/>
        <w:autoSpaceDE/>
        <w:autoSpaceDN/>
        <w:bidi w:val="0"/>
        <w:spacing w:line="5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一、软科学</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rPr>
          <w:rFonts w:hint="default" w:ascii="Times New Roman" w:hAnsi="Times New Roman" w:eastAsia="楷体_GB2312" w:cs="Times New Roman"/>
          <w:color w:val="000000"/>
          <w:sz w:val="28"/>
          <w:szCs w:val="28"/>
        </w:rPr>
      </w:pPr>
      <w:r>
        <w:rPr>
          <w:rFonts w:hint="default" w:ascii="Times New Roman" w:hAnsi="Times New Roman" w:eastAsia="楷体_GB2312" w:cs="Times New Roman"/>
          <w:color w:val="000000"/>
          <w:sz w:val="28"/>
          <w:szCs w:val="28"/>
        </w:rPr>
        <w:t>（该指南在线填写“四川省软科学研究项目申报书”。指南咨询：卢忠伟 028-86668420）</w:t>
      </w:r>
    </w:p>
    <w:p>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default" w:ascii="Times New Roman" w:hAnsi="Times New Roman" w:eastAsia="黑体" w:cs="Times New Roman"/>
          <w:b w:val="0"/>
          <w:bCs w:val="0"/>
          <w:color w:val="000000"/>
          <w:spacing w:val="0"/>
          <w:sz w:val="32"/>
          <w:szCs w:val="32"/>
          <w:lang w:eastAsia="zh-CN"/>
        </w:rPr>
      </w:pP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黑体" w:cs="Times New Roman"/>
          <w:b w:val="0"/>
          <w:bCs w:val="0"/>
          <w:color w:val="000000"/>
          <w:spacing w:val="0"/>
          <w:sz w:val="30"/>
          <w:szCs w:val="30"/>
        </w:rPr>
      </w:pPr>
      <w:r>
        <w:rPr>
          <w:rFonts w:hint="default" w:ascii="Times New Roman" w:hAnsi="Times New Roman" w:eastAsia="黑体" w:cs="Times New Roman"/>
          <w:b w:val="0"/>
          <w:bCs w:val="0"/>
          <w:color w:val="000000"/>
          <w:spacing w:val="0"/>
          <w:sz w:val="30"/>
          <w:szCs w:val="30"/>
          <w:lang w:eastAsia="zh-CN"/>
        </w:rPr>
        <w:t>——总体</w:t>
      </w:r>
      <w:r>
        <w:rPr>
          <w:rFonts w:hint="default" w:ascii="Times New Roman" w:hAnsi="Times New Roman" w:eastAsia="黑体" w:cs="Times New Roman"/>
          <w:b w:val="0"/>
          <w:bCs w:val="0"/>
          <w:color w:val="000000"/>
          <w:spacing w:val="0"/>
          <w:sz w:val="30"/>
          <w:szCs w:val="30"/>
        </w:rPr>
        <w:t>绩效目标</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rPr>
      </w:pPr>
      <w:r>
        <w:rPr>
          <w:rFonts w:hint="default" w:ascii="Times New Roman" w:hAnsi="Times New Roman" w:eastAsia="仿宋_GB2312" w:cs="Times New Roman"/>
          <w:b w:val="0"/>
          <w:bCs w:val="0"/>
          <w:color w:val="000000"/>
          <w:spacing w:val="0"/>
          <w:sz w:val="30"/>
          <w:szCs w:val="30"/>
        </w:rPr>
        <w:t>形成科技报告</w:t>
      </w:r>
      <w:r>
        <w:rPr>
          <w:rFonts w:hint="default" w:ascii="Times New Roman" w:hAnsi="Times New Roman" w:eastAsia="仿宋_GB2312" w:cs="Times New Roman"/>
          <w:b w:val="0"/>
          <w:bCs w:val="0"/>
          <w:color w:val="000000"/>
          <w:spacing w:val="0"/>
          <w:sz w:val="30"/>
          <w:szCs w:val="30"/>
          <w:lang w:val="en-US" w:eastAsia="zh-CN"/>
        </w:rPr>
        <w:t>3</w:t>
      </w:r>
      <w:r>
        <w:rPr>
          <w:rFonts w:hint="default" w:ascii="Times New Roman" w:hAnsi="Times New Roman" w:eastAsia="仿宋_GB2312" w:cs="Times New Roman"/>
          <w:b w:val="0"/>
          <w:bCs w:val="0"/>
          <w:color w:val="000000"/>
          <w:spacing w:val="0"/>
          <w:sz w:val="30"/>
          <w:szCs w:val="30"/>
        </w:rPr>
        <w:t>00篇以上，形成研究报告</w:t>
      </w:r>
      <w:r>
        <w:rPr>
          <w:rFonts w:hint="default" w:ascii="Times New Roman" w:hAnsi="Times New Roman" w:eastAsia="仿宋_GB2312" w:cs="Times New Roman"/>
          <w:b w:val="0"/>
          <w:bCs w:val="0"/>
          <w:color w:val="000000"/>
          <w:spacing w:val="0"/>
          <w:sz w:val="30"/>
          <w:szCs w:val="30"/>
          <w:lang w:val="en-US" w:eastAsia="zh-CN"/>
        </w:rPr>
        <w:t>3</w:t>
      </w:r>
      <w:r>
        <w:rPr>
          <w:rFonts w:hint="default" w:ascii="Times New Roman" w:hAnsi="Times New Roman" w:eastAsia="仿宋_GB2312" w:cs="Times New Roman"/>
          <w:b w:val="0"/>
          <w:bCs w:val="0"/>
          <w:color w:val="000000"/>
          <w:spacing w:val="0"/>
          <w:sz w:val="30"/>
          <w:szCs w:val="30"/>
        </w:rPr>
        <w:t>00篇以上，形成政策建议</w:t>
      </w:r>
      <w:r>
        <w:rPr>
          <w:rFonts w:hint="default" w:ascii="Times New Roman" w:hAnsi="Times New Roman" w:eastAsia="仿宋_GB2312" w:cs="Times New Roman"/>
          <w:b w:val="0"/>
          <w:bCs w:val="0"/>
          <w:color w:val="000000"/>
          <w:spacing w:val="0"/>
          <w:sz w:val="30"/>
          <w:szCs w:val="30"/>
          <w:lang w:val="en-US" w:eastAsia="zh-CN"/>
        </w:rPr>
        <w:t>3</w:t>
      </w:r>
      <w:r>
        <w:rPr>
          <w:rFonts w:hint="default" w:ascii="Times New Roman" w:hAnsi="Times New Roman" w:eastAsia="仿宋_GB2312" w:cs="Times New Roman"/>
          <w:b w:val="0"/>
          <w:bCs w:val="0"/>
          <w:color w:val="000000"/>
          <w:spacing w:val="0"/>
          <w:sz w:val="30"/>
          <w:szCs w:val="30"/>
        </w:rPr>
        <w:t>00条以上。</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黑体" w:cs="Times New Roman"/>
          <w:b w:val="0"/>
          <w:bCs w:val="0"/>
          <w:color w:val="000000"/>
          <w:spacing w:val="0"/>
          <w:sz w:val="30"/>
          <w:szCs w:val="30"/>
        </w:rPr>
      </w:pPr>
      <w:r>
        <w:rPr>
          <w:rFonts w:hint="default" w:ascii="Times New Roman" w:hAnsi="Times New Roman" w:eastAsia="黑体" w:cs="Times New Roman"/>
          <w:b w:val="0"/>
          <w:bCs w:val="0"/>
          <w:color w:val="000000"/>
          <w:spacing w:val="0"/>
          <w:sz w:val="30"/>
          <w:szCs w:val="30"/>
          <w:lang w:eastAsia="zh-CN"/>
        </w:rPr>
        <w:t>——</w:t>
      </w:r>
      <w:r>
        <w:rPr>
          <w:rFonts w:hint="default" w:ascii="Times New Roman" w:hAnsi="Times New Roman" w:eastAsia="黑体" w:cs="Times New Roman"/>
          <w:b w:val="0"/>
          <w:bCs w:val="0"/>
          <w:color w:val="000000"/>
          <w:spacing w:val="0"/>
          <w:sz w:val="30"/>
          <w:szCs w:val="30"/>
        </w:rPr>
        <w:t>资金支持方式</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0"/>
          <w:sz w:val="30"/>
          <w:szCs w:val="30"/>
        </w:rPr>
      </w:pPr>
      <w:r>
        <w:rPr>
          <w:rFonts w:hint="default" w:ascii="Times New Roman" w:hAnsi="Times New Roman" w:eastAsia="仿宋_GB2312" w:cs="Times New Roman"/>
          <w:b w:val="0"/>
          <w:bCs w:val="0"/>
          <w:color w:val="000000"/>
          <w:spacing w:val="0"/>
          <w:sz w:val="30"/>
          <w:szCs w:val="30"/>
        </w:rPr>
        <w:t>采取前补助支持方式。</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0"/>
          <w:sz w:val="30"/>
          <w:szCs w:val="30"/>
        </w:rPr>
      </w:pPr>
      <w:r>
        <w:rPr>
          <w:rFonts w:hint="default" w:ascii="Times New Roman" w:hAnsi="Times New Roman" w:eastAsia="黑体" w:cs="Times New Roman"/>
          <w:b w:val="0"/>
          <w:bCs w:val="0"/>
          <w:color w:val="000000"/>
          <w:spacing w:val="0"/>
          <w:sz w:val="30"/>
          <w:szCs w:val="30"/>
          <w:lang w:eastAsia="zh-CN"/>
        </w:rPr>
        <w:t>——</w:t>
      </w:r>
      <w:r>
        <w:rPr>
          <w:rFonts w:hint="default" w:ascii="Times New Roman" w:hAnsi="Times New Roman" w:eastAsia="黑体" w:cs="Times New Roman"/>
          <w:b w:val="0"/>
          <w:bCs w:val="0"/>
          <w:color w:val="000000"/>
          <w:spacing w:val="0"/>
          <w:sz w:val="30"/>
          <w:szCs w:val="30"/>
        </w:rPr>
        <w:t>支持类型和经费</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rPr>
      </w:pPr>
      <w:r>
        <w:rPr>
          <w:rFonts w:hint="default" w:ascii="Times New Roman" w:hAnsi="Times New Roman" w:eastAsia="仿宋_GB2312" w:cs="Times New Roman"/>
          <w:b w:val="0"/>
          <w:bCs w:val="0"/>
          <w:color w:val="000000"/>
          <w:spacing w:val="0"/>
          <w:sz w:val="30"/>
          <w:szCs w:val="30"/>
        </w:rPr>
        <w:t>按照</w:t>
      </w:r>
      <w:r>
        <w:rPr>
          <w:rFonts w:hint="default" w:ascii="Times New Roman" w:hAnsi="Times New Roman" w:eastAsia="仿宋_GB2312" w:cs="Times New Roman"/>
          <w:b w:val="0"/>
          <w:bCs w:val="0"/>
          <w:color w:val="000000"/>
          <w:spacing w:val="0"/>
          <w:sz w:val="30"/>
          <w:szCs w:val="30"/>
          <w:lang w:eastAsia="zh-CN"/>
        </w:rPr>
        <w:t>决策</w:t>
      </w:r>
      <w:r>
        <w:rPr>
          <w:rFonts w:hint="default" w:ascii="Times New Roman" w:hAnsi="Times New Roman" w:eastAsia="仿宋_GB2312" w:cs="Times New Roman"/>
          <w:b w:val="0"/>
          <w:bCs w:val="0"/>
          <w:color w:val="000000"/>
          <w:spacing w:val="0"/>
          <w:sz w:val="30"/>
          <w:szCs w:val="30"/>
        </w:rPr>
        <w:t>支撑类项目、决策参考类项目等2种类型进行管理。</w:t>
      </w:r>
      <w:r>
        <w:rPr>
          <w:rFonts w:hint="default" w:ascii="Times New Roman" w:hAnsi="Times New Roman" w:eastAsia="仿宋_GB2312" w:cs="Times New Roman"/>
          <w:b w:val="0"/>
          <w:bCs w:val="0"/>
          <w:color w:val="000000"/>
          <w:spacing w:val="0"/>
          <w:sz w:val="30"/>
          <w:szCs w:val="30"/>
          <w:lang w:eastAsia="zh-CN"/>
        </w:rPr>
        <w:t>决策</w:t>
      </w:r>
      <w:r>
        <w:rPr>
          <w:rFonts w:hint="default" w:ascii="Times New Roman" w:hAnsi="Times New Roman" w:eastAsia="仿宋_GB2312" w:cs="Times New Roman"/>
          <w:b w:val="0"/>
          <w:bCs w:val="0"/>
          <w:color w:val="000000"/>
          <w:spacing w:val="0"/>
          <w:sz w:val="30"/>
          <w:szCs w:val="30"/>
        </w:rPr>
        <w:t>支撑类项目</w:t>
      </w:r>
      <w:r>
        <w:rPr>
          <w:rFonts w:hint="default" w:ascii="Times New Roman" w:hAnsi="Times New Roman" w:eastAsia="仿宋_GB2312" w:cs="Times New Roman"/>
          <w:b w:val="0"/>
          <w:bCs w:val="0"/>
          <w:color w:val="000000"/>
          <w:spacing w:val="0"/>
          <w:sz w:val="30"/>
          <w:szCs w:val="30"/>
          <w:lang w:eastAsia="zh-CN"/>
        </w:rPr>
        <w:t>申报</w:t>
      </w:r>
      <w:r>
        <w:rPr>
          <w:rFonts w:hint="default" w:ascii="Times New Roman" w:hAnsi="Times New Roman" w:eastAsia="仿宋_GB2312" w:cs="Times New Roman"/>
          <w:b w:val="0"/>
          <w:bCs w:val="0"/>
          <w:color w:val="000000"/>
          <w:spacing w:val="0"/>
          <w:sz w:val="30"/>
          <w:szCs w:val="30"/>
        </w:rPr>
        <w:t>经费</w:t>
      </w:r>
      <w:r>
        <w:rPr>
          <w:rFonts w:hint="default" w:ascii="Times New Roman" w:hAnsi="Times New Roman" w:eastAsia="仿宋_GB2312" w:cs="Times New Roman"/>
          <w:b w:val="0"/>
          <w:bCs w:val="0"/>
          <w:color w:val="000000"/>
          <w:spacing w:val="0"/>
          <w:sz w:val="30"/>
          <w:szCs w:val="30"/>
          <w:lang w:eastAsia="zh-CN"/>
        </w:rPr>
        <w:t>不超过</w:t>
      </w:r>
      <w:r>
        <w:rPr>
          <w:rFonts w:hint="default" w:ascii="Times New Roman" w:hAnsi="Times New Roman" w:eastAsia="仿宋_GB2312" w:cs="Times New Roman"/>
          <w:b w:val="0"/>
          <w:bCs w:val="0"/>
          <w:color w:val="000000"/>
          <w:spacing w:val="0"/>
          <w:sz w:val="30"/>
          <w:szCs w:val="30"/>
          <w:lang w:val="en-US" w:eastAsia="zh-CN"/>
        </w:rPr>
        <w:t>30万元、</w:t>
      </w:r>
      <w:r>
        <w:rPr>
          <w:rFonts w:hint="default" w:ascii="Times New Roman" w:hAnsi="Times New Roman" w:eastAsia="仿宋_GB2312" w:cs="Times New Roman"/>
          <w:b w:val="0"/>
          <w:bCs w:val="0"/>
          <w:color w:val="000000"/>
          <w:spacing w:val="0"/>
          <w:sz w:val="30"/>
          <w:szCs w:val="30"/>
        </w:rPr>
        <w:t>具体以指南条目要求为准。决策参考类项目</w:t>
      </w:r>
      <w:r>
        <w:rPr>
          <w:rFonts w:hint="default" w:ascii="Times New Roman" w:hAnsi="Times New Roman" w:eastAsia="仿宋_GB2312" w:cs="Times New Roman"/>
          <w:b w:val="0"/>
          <w:bCs w:val="0"/>
          <w:color w:val="000000"/>
          <w:spacing w:val="0"/>
          <w:sz w:val="30"/>
          <w:szCs w:val="30"/>
          <w:lang w:eastAsia="zh-CN"/>
        </w:rPr>
        <w:t>申报</w:t>
      </w:r>
      <w:r>
        <w:rPr>
          <w:rFonts w:hint="default" w:ascii="Times New Roman" w:hAnsi="Times New Roman" w:eastAsia="仿宋_GB2312" w:cs="Times New Roman"/>
          <w:b w:val="0"/>
          <w:bCs w:val="0"/>
          <w:color w:val="000000"/>
          <w:spacing w:val="0"/>
          <w:sz w:val="30"/>
          <w:szCs w:val="30"/>
        </w:rPr>
        <w:t>经费</w:t>
      </w:r>
      <w:r>
        <w:rPr>
          <w:rFonts w:hint="default" w:ascii="Times New Roman" w:hAnsi="Times New Roman" w:eastAsia="仿宋_GB2312" w:cs="Times New Roman"/>
          <w:b w:val="0"/>
          <w:bCs w:val="0"/>
          <w:color w:val="000000"/>
          <w:spacing w:val="0"/>
          <w:sz w:val="30"/>
          <w:szCs w:val="30"/>
          <w:lang w:eastAsia="zh-CN"/>
        </w:rPr>
        <w:t>不超过</w:t>
      </w:r>
      <w:r>
        <w:rPr>
          <w:rFonts w:hint="default" w:ascii="Times New Roman" w:hAnsi="Times New Roman" w:eastAsia="仿宋_GB2312" w:cs="Times New Roman"/>
          <w:b w:val="0"/>
          <w:bCs w:val="0"/>
          <w:color w:val="000000"/>
          <w:spacing w:val="0"/>
          <w:sz w:val="30"/>
          <w:szCs w:val="30"/>
        </w:rPr>
        <w:t>5万元。</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黑体" w:cs="Times New Roman"/>
          <w:b w:val="0"/>
          <w:bCs w:val="0"/>
          <w:color w:val="000000"/>
          <w:spacing w:val="0"/>
          <w:kern w:val="0"/>
          <w:sz w:val="30"/>
          <w:szCs w:val="30"/>
        </w:rPr>
      </w:pPr>
      <w:r>
        <w:rPr>
          <w:rFonts w:hint="default" w:ascii="Times New Roman" w:hAnsi="Times New Roman" w:eastAsia="黑体" w:cs="Times New Roman"/>
          <w:b w:val="0"/>
          <w:bCs w:val="0"/>
          <w:color w:val="000000"/>
          <w:spacing w:val="0"/>
          <w:kern w:val="0"/>
          <w:sz w:val="30"/>
          <w:szCs w:val="30"/>
          <w:lang w:eastAsia="zh-CN"/>
        </w:rPr>
        <w:t>——</w:t>
      </w:r>
      <w:r>
        <w:rPr>
          <w:rFonts w:hint="default" w:ascii="Times New Roman" w:hAnsi="Times New Roman" w:eastAsia="黑体" w:cs="Times New Roman"/>
          <w:b w:val="0"/>
          <w:bCs w:val="0"/>
          <w:color w:val="000000"/>
          <w:spacing w:val="0"/>
          <w:kern w:val="0"/>
          <w:sz w:val="30"/>
          <w:szCs w:val="30"/>
        </w:rPr>
        <w:t>实施周期</w:t>
      </w:r>
    </w:p>
    <w:p>
      <w:pPr>
        <w:keepNext w:val="0"/>
        <w:keepLines w:val="0"/>
        <w:pageBreakBefore w:val="0"/>
        <w:widowControl w:val="0"/>
        <w:shd w:val="clear" w:color="auto" w:fill="FFFFFF"/>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0"/>
          <w:sz w:val="30"/>
          <w:szCs w:val="30"/>
        </w:rPr>
      </w:pPr>
      <w:r>
        <w:rPr>
          <w:rFonts w:hint="default" w:ascii="Times New Roman" w:hAnsi="Times New Roman" w:eastAsia="仿宋_GB2312" w:cs="Times New Roman"/>
          <w:b w:val="0"/>
          <w:bCs w:val="0"/>
          <w:color w:val="000000"/>
          <w:spacing w:val="0"/>
          <w:kern w:val="0"/>
          <w:sz w:val="30"/>
          <w:szCs w:val="30"/>
        </w:rPr>
        <w:t>原则上为2年，</w:t>
      </w:r>
      <w:r>
        <w:rPr>
          <w:rFonts w:hint="default" w:ascii="Times New Roman" w:hAnsi="Times New Roman" w:eastAsia="仿宋_GB2312" w:cs="Times New Roman"/>
          <w:color w:val="000000"/>
          <w:kern w:val="0"/>
          <w:sz w:val="30"/>
          <w:szCs w:val="30"/>
        </w:rPr>
        <w:t>自202</w:t>
      </w:r>
      <w:r>
        <w:rPr>
          <w:rFonts w:hint="default" w:ascii="Times New Roman" w:hAnsi="Times New Roman" w:eastAsia="仿宋_GB2312" w:cs="Times New Roman"/>
          <w:color w:val="000000"/>
          <w:kern w:val="0"/>
          <w:sz w:val="30"/>
          <w:szCs w:val="30"/>
          <w:lang w:val="en-US" w:eastAsia="zh-CN"/>
        </w:rPr>
        <w:t>3</w:t>
      </w:r>
      <w:r>
        <w:rPr>
          <w:rFonts w:hint="default" w:ascii="Times New Roman" w:hAnsi="Times New Roman" w:eastAsia="仿宋_GB2312" w:cs="Times New Roman"/>
          <w:color w:val="000000"/>
          <w:kern w:val="0"/>
          <w:sz w:val="30"/>
          <w:szCs w:val="30"/>
        </w:rPr>
        <w:t>年</w:t>
      </w:r>
      <w:r>
        <w:rPr>
          <w:rFonts w:hint="default" w:ascii="Times New Roman" w:hAnsi="Times New Roman" w:eastAsia="仿宋_GB2312" w:cs="Times New Roman"/>
          <w:color w:val="000000"/>
          <w:kern w:val="0"/>
          <w:sz w:val="30"/>
          <w:szCs w:val="30"/>
          <w:lang w:val="en-US" w:eastAsia="zh-CN"/>
        </w:rPr>
        <w:t>1</w:t>
      </w:r>
      <w:r>
        <w:rPr>
          <w:rFonts w:hint="default" w:ascii="Times New Roman" w:hAnsi="Times New Roman" w:eastAsia="仿宋_GB2312" w:cs="Times New Roman"/>
          <w:color w:val="000000"/>
          <w:kern w:val="0"/>
          <w:sz w:val="30"/>
          <w:szCs w:val="30"/>
        </w:rPr>
        <w:t>月</w:t>
      </w:r>
      <w:r>
        <w:rPr>
          <w:rFonts w:hint="default" w:ascii="Times New Roman" w:hAnsi="Times New Roman" w:eastAsia="仿宋_GB2312" w:cs="Times New Roman"/>
          <w:color w:val="000000"/>
          <w:kern w:val="0"/>
          <w:sz w:val="30"/>
          <w:szCs w:val="30"/>
          <w:lang w:val="en-US" w:eastAsia="zh-CN"/>
        </w:rPr>
        <w:t>1日</w:t>
      </w:r>
      <w:r>
        <w:rPr>
          <w:rFonts w:hint="default" w:ascii="Times New Roman" w:hAnsi="Times New Roman" w:eastAsia="仿宋_GB2312" w:cs="Times New Roman"/>
          <w:color w:val="000000"/>
          <w:kern w:val="0"/>
          <w:sz w:val="30"/>
          <w:szCs w:val="30"/>
        </w:rPr>
        <w:t>起。</w:t>
      </w:r>
      <w:r>
        <w:rPr>
          <w:rFonts w:hint="default" w:ascii="Times New Roman" w:hAnsi="Times New Roman" w:eastAsia="仿宋_GB2312" w:cs="Times New Roman"/>
          <w:b w:val="0"/>
          <w:bCs w:val="0"/>
          <w:color w:val="000000"/>
          <w:spacing w:val="0"/>
          <w:kern w:val="0"/>
          <w:sz w:val="30"/>
          <w:szCs w:val="30"/>
        </w:rPr>
        <w:t>202</w:t>
      </w:r>
      <w:r>
        <w:rPr>
          <w:rFonts w:hint="default" w:ascii="Times New Roman" w:hAnsi="Times New Roman" w:eastAsia="仿宋_GB2312" w:cs="Times New Roman"/>
          <w:b w:val="0"/>
          <w:bCs w:val="0"/>
          <w:color w:val="000000"/>
          <w:spacing w:val="0"/>
          <w:kern w:val="0"/>
          <w:sz w:val="30"/>
          <w:szCs w:val="30"/>
          <w:lang w:val="en-US" w:eastAsia="zh-CN"/>
        </w:rPr>
        <w:t>3</w:t>
      </w:r>
      <w:r>
        <w:rPr>
          <w:rFonts w:hint="default" w:ascii="Times New Roman" w:hAnsi="Times New Roman" w:eastAsia="仿宋_GB2312" w:cs="Times New Roman"/>
          <w:b w:val="0"/>
          <w:bCs w:val="0"/>
          <w:color w:val="000000"/>
          <w:spacing w:val="0"/>
          <w:kern w:val="0"/>
          <w:sz w:val="30"/>
          <w:szCs w:val="30"/>
        </w:rPr>
        <w:t>年12月底前</w:t>
      </w:r>
      <w:r>
        <w:rPr>
          <w:rFonts w:hint="default" w:ascii="Times New Roman" w:hAnsi="Times New Roman" w:eastAsia="仿宋_GB2312" w:cs="Times New Roman"/>
          <w:b w:val="0"/>
          <w:bCs w:val="0"/>
          <w:color w:val="000000"/>
          <w:spacing w:val="0"/>
          <w:kern w:val="0"/>
          <w:sz w:val="30"/>
          <w:szCs w:val="30"/>
          <w:lang w:eastAsia="zh-CN"/>
        </w:rPr>
        <w:t>基本</w:t>
      </w:r>
      <w:r>
        <w:rPr>
          <w:rFonts w:hint="default" w:ascii="Times New Roman" w:hAnsi="Times New Roman" w:eastAsia="仿宋_GB2312" w:cs="Times New Roman"/>
          <w:b w:val="0"/>
          <w:bCs w:val="0"/>
          <w:color w:val="000000"/>
          <w:spacing w:val="0"/>
          <w:kern w:val="0"/>
          <w:sz w:val="30"/>
          <w:szCs w:val="30"/>
        </w:rPr>
        <w:t>完成项目研究，202</w:t>
      </w:r>
      <w:r>
        <w:rPr>
          <w:rFonts w:hint="default" w:ascii="Times New Roman" w:hAnsi="Times New Roman" w:eastAsia="仿宋_GB2312" w:cs="Times New Roman"/>
          <w:b w:val="0"/>
          <w:bCs w:val="0"/>
          <w:color w:val="000000"/>
          <w:spacing w:val="0"/>
          <w:kern w:val="0"/>
          <w:sz w:val="30"/>
          <w:szCs w:val="30"/>
          <w:lang w:val="en-US" w:eastAsia="zh-CN"/>
        </w:rPr>
        <w:t>4</w:t>
      </w:r>
      <w:r>
        <w:rPr>
          <w:rFonts w:hint="default" w:ascii="Times New Roman" w:hAnsi="Times New Roman" w:eastAsia="仿宋_GB2312" w:cs="Times New Roman"/>
          <w:b w:val="0"/>
          <w:bCs w:val="0"/>
          <w:color w:val="000000"/>
          <w:spacing w:val="0"/>
          <w:kern w:val="0"/>
          <w:sz w:val="30"/>
          <w:szCs w:val="30"/>
        </w:rPr>
        <w:t>年12月底前完成项目验收。</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0"/>
          <w:sz w:val="30"/>
          <w:szCs w:val="30"/>
        </w:rPr>
      </w:pPr>
      <w:r>
        <w:rPr>
          <w:rFonts w:hint="default" w:ascii="Times New Roman" w:hAnsi="Times New Roman" w:eastAsia="仿宋_GB2312" w:cs="Times New Roman"/>
          <w:b w:val="0"/>
          <w:bCs w:val="0"/>
          <w:color w:val="000000"/>
          <w:spacing w:val="0"/>
          <w:kern w:val="0"/>
          <w:sz w:val="30"/>
          <w:szCs w:val="30"/>
          <w:lang w:eastAsia="zh-CN"/>
        </w:rPr>
        <w:t>决策</w:t>
      </w:r>
      <w:r>
        <w:rPr>
          <w:rFonts w:hint="default" w:ascii="Times New Roman" w:hAnsi="Times New Roman" w:eastAsia="仿宋_GB2312" w:cs="Times New Roman"/>
          <w:b w:val="0"/>
          <w:bCs w:val="0"/>
          <w:color w:val="000000"/>
          <w:spacing w:val="0"/>
          <w:kern w:val="0"/>
          <w:sz w:val="30"/>
          <w:szCs w:val="30"/>
        </w:rPr>
        <w:t>支撑类项目立项后半年内提交初步研究成果。决策参考类项目应根据工作需要及时提交研究报告。</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黑体" w:cs="Times New Roman"/>
          <w:b w:val="0"/>
          <w:bCs w:val="0"/>
          <w:color w:val="000000"/>
          <w:spacing w:val="0"/>
          <w:kern w:val="0"/>
          <w:sz w:val="30"/>
          <w:szCs w:val="30"/>
        </w:rPr>
      </w:pPr>
      <w:r>
        <w:rPr>
          <w:rFonts w:hint="default" w:ascii="Times New Roman" w:hAnsi="Times New Roman" w:eastAsia="黑体" w:cs="Times New Roman"/>
          <w:b w:val="0"/>
          <w:bCs w:val="0"/>
          <w:color w:val="000000"/>
          <w:spacing w:val="0"/>
          <w:kern w:val="0"/>
          <w:sz w:val="30"/>
          <w:szCs w:val="30"/>
          <w:lang w:eastAsia="zh-CN"/>
        </w:rPr>
        <w:t>——</w:t>
      </w:r>
      <w:r>
        <w:rPr>
          <w:rFonts w:hint="default" w:ascii="Times New Roman" w:hAnsi="Times New Roman" w:eastAsia="黑体" w:cs="Times New Roman"/>
          <w:b w:val="0"/>
          <w:bCs w:val="0"/>
          <w:color w:val="000000"/>
          <w:spacing w:val="0"/>
          <w:kern w:val="0"/>
          <w:sz w:val="30"/>
          <w:szCs w:val="30"/>
        </w:rPr>
        <w:t>支持重点</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楷体_GB2312" w:cs="Times New Roman"/>
          <w:b w:val="0"/>
          <w:bCs w:val="0"/>
          <w:color w:val="000000"/>
          <w:spacing w:val="0"/>
          <w:kern w:val="0"/>
          <w:sz w:val="30"/>
          <w:szCs w:val="30"/>
        </w:rPr>
      </w:pPr>
      <w:r>
        <w:rPr>
          <w:rFonts w:hint="default" w:ascii="Times New Roman" w:hAnsi="Times New Roman" w:eastAsia="楷体_GB2312" w:cs="Times New Roman"/>
          <w:b w:val="0"/>
          <w:bCs w:val="0"/>
          <w:color w:val="000000"/>
          <w:spacing w:val="0"/>
          <w:kern w:val="0"/>
          <w:sz w:val="30"/>
          <w:szCs w:val="30"/>
          <w:lang w:val="en-US" w:eastAsia="zh-CN"/>
        </w:rPr>
        <w:t>（一）</w:t>
      </w:r>
      <w:r>
        <w:rPr>
          <w:rFonts w:hint="default" w:ascii="Times New Roman" w:hAnsi="Times New Roman" w:eastAsia="楷体_GB2312" w:cs="Times New Roman"/>
          <w:b w:val="0"/>
          <w:bCs w:val="0"/>
          <w:color w:val="000000"/>
          <w:spacing w:val="0"/>
          <w:kern w:val="0"/>
          <w:sz w:val="30"/>
          <w:szCs w:val="30"/>
          <w:lang w:eastAsia="zh-CN"/>
        </w:rPr>
        <w:t>决策支撑</w:t>
      </w:r>
      <w:r>
        <w:rPr>
          <w:rFonts w:hint="default" w:ascii="Times New Roman" w:hAnsi="Times New Roman" w:eastAsia="楷体_GB2312" w:cs="Times New Roman"/>
          <w:b w:val="0"/>
          <w:bCs w:val="0"/>
          <w:color w:val="000000"/>
          <w:spacing w:val="0"/>
          <w:kern w:val="0"/>
          <w:sz w:val="30"/>
          <w:szCs w:val="30"/>
        </w:rPr>
        <w:t>类项目。</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lang w:val="en-US" w:eastAsia="zh-CN"/>
        </w:rPr>
      </w:pPr>
      <w:r>
        <w:rPr>
          <w:rFonts w:hint="default" w:ascii="Times New Roman" w:hAnsi="Times New Roman" w:eastAsia="仿宋_GB2312" w:cs="Times New Roman"/>
          <w:b w:val="0"/>
          <w:bCs w:val="0"/>
          <w:color w:val="000000"/>
          <w:spacing w:val="0"/>
          <w:sz w:val="30"/>
          <w:szCs w:val="30"/>
          <w:lang w:eastAsia="zh-CN"/>
        </w:rPr>
        <w:t>有关说明：每个课题拟支持</w:t>
      </w:r>
      <w:r>
        <w:rPr>
          <w:rFonts w:hint="default" w:ascii="Times New Roman" w:hAnsi="Times New Roman" w:eastAsia="仿宋_GB2312" w:cs="Times New Roman"/>
          <w:b w:val="0"/>
          <w:bCs w:val="0"/>
          <w:color w:val="000000"/>
          <w:spacing w:val="0"/>
          <w:sz w:val="30"/>
          <w:szCs w:val="30"/>
          <w:lang w:val="en-US" w:eastAsia="zh-CN"/>
        </w:rPr>
        <w:t>1个项目，</w:t>
      </w:r>
      <w:r>
        <w:rPr>
          <w:rFonts w:hint="default" w:ascii="Times New Roman" w:hAnsi="Times New Roman" w:eastAsia="仿宋_GB2312" w:cs="Times New Roman"/>
          <w:b w:val="0"/>
          <w:bCs w:val="0"/>
          <w:color w:val="000000"/>
          <w:spacing w:val="0"/>
          <w:sz w:val="30"/>
          <w:szCs w:val="30"/>
          <w:lang w:eastAsia="zh-CN"/>
        </w:rPr>
        <w:t>采取定向委托方式组织申报，</w:t>
      </w:r>
      <w:r>
        <w:rPr>
          <w:rFonts w:hint="default" w:ascii="Times New Roman" w:hAnsi="Times New Roman" w:eastAsia="仿宋_GB2312" w:cs="Times New Roman"/>
          <w:b w:val="0"/>
          <w:bCs w:val="0"/>
          <w:color w:val="000000"/>
          <w:spacing w:val="0"/>
          <w:sz w:val="30"/>
          <w:szCs w:val="30"/>
          <w:lang w:val="en-US" w:eastAsia="zh-CN"/>
        </w:rPr>
        <w:t>由省直有关部门和有关市（州）科技局负责组织。</w:t>
      </w:r>
      <w:r>
        <w:rPr>
          <w:rFonts w:hint="default" w:ascii="Times New Roman" w:hAnsi="Times New Roman" w:eastAsia="仿宋_GB2312" w:cs="Times New Roman"/>
          <w:b w:val="0"/>
          <w:bCs w:val="0"/>
          <w:color w:val="000000"/>
          <w:spacing w:val="0"/>
          <w:sz w:val="30"/>
          <w:szCs w:val="30"/>
        </w:rPr>
        <w:t>项目在以下拟定的课题中进行申报，严格按照课题名称进行申报</w:t>
      </w:r>
      <w:r>
        <w:rPr>
          <w:rFonts w:hint="default" w:ascii="Times New Roman" w:hAnsi="Times New Roman" w:eastAsia="仿宋_GB2312" w:cs="Times New Roman"/>
          <w:b w:val="0"/>
          <w:bCs w:val="0"/>
          <w:color w:val="000000"/>
          <w:spacing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rPr>
        <w:t>1</w:t>
      </w:r>
      <w:r>
        <w:rPr>
          <w:rFonts w:hint="default" w:ascii="Times New Roman" w:hAnsi="Times New Roman" w:eastAsia="仿宋_GB2312" w:cs="Times New Roman"/>
          <w:b w:val="0"/>
          <w:bCs w:val="0"/>
          <w:spacing w:val="0"/>
          <w:sz w:val="30"/>
          <w:szCs w:val="30"/>
          <w:vertAlign w:val="baseline"/>
          <w:lang w:val="en-US" w:eastAsia="zh-CN"/>
        </w:rPr>
        <w:t>.1</w:t>
      </w:r>
      <w:r>
        <w:rPr>
          <w:rFonts w:hint="default" w:ascii="Times New Roman" w:hAnsi="Times New Roman" w:eastAsia="仿宋_GB2312" w:cs="Times New Roman"/>
          <w:b w:val="0"/>
          <w:bCs w:val="0"/>
          <w:spacing w:val="0"/>
          <w:sz w:val="30"/>
          <w:szCs w:val="30"/>
          <w:vertAlign w:val="baseline"/>
        </w:rPr>
        <w:t>双城经济圈战略研究</w:t>
      </w:r>
      <w:r>
        <w:rPr>
          <w:rFonts w:hint="default" w:ascii="Times New Roman" w:hAnsi="Times New Roman" w:eastAsia="仿宋_GB2312" w:cs="Times New Roman"/>
          <w:b w:val="0"/>
          <w:bCs w:val="0"/>
          <w:spacing w:val="0"/>
          <w:sz w:val="30"/>
          <w:szCs w:val="30"/>
          <w:vertAlign w:val="baseline"/>
          <w:lang w:eastAsia="zh-CN"/>
        </w:rPr>
        <w:t>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（1）</w:t>
      </w:r>
      <w:r>
        <w:rPr>
          <w:rFonts w:hint="default" w:ascii="Times New Roman" w:hAnsi="Times New Roman" w:eastAsia="仿宋_GB2312" w:cs="Times New Roman"/>
          <w:b w:val="0"/>
          <w:bCs w:val="0"/>
          <w:spacing w:val="0"/>
          <w:sz w:val="30"/>
          <w:szCs w:val="30"/>
          <w:vertAlign w:val="baseline"/>
          <w:lang w:eastAsia="zh-CN"/>
        </w:rPr>
        <w:t>成渝双城经济圈法治研究。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lang w:eastAsia="zh-CN"/>
        </w:rPr>
        <w:t>开展</w:t>
      </w:r>
      <w:r>
        <w:rPr>
          <w:rFonts w:hint="default" w:ascii="Times New Roman" w:hAnsi="Times New Roman" w:eastAsia="仿宋_GB2312" w:cs="Times New Roman"/>
          <w:b w:val="0"/>
          <w:bCs w:val="0"/>
          <w:spacing w:val="0"/>
          <w:sz w:val="30"/>
          <w:szCs w:val="30"/>
        </w:rPr>
        <w:t>成渝地区双城经济圈重大法治问题调研、重大法治难题解决、重大法治实践创新探索</w:t>
      </w:r>
      <w:r>
        <w:rPr>
          <w:rFonts w:hint="default" w:ascii="Times New Roman" w:hAnsi="Times New Roman" w:eastAsia="仿宋_GB2312" w:cs="Times New Roman"/>
          <w:b w:val="0"/>
          <w:bCs w:val="0"/>
          <w:spacing w:val="0"/>
          <w:sz w:val="30"/>
          <w:szCs w:val="30"/>
          <w:lang w:eastAsia="zh-CN"/>
        </w:rPr>
        <w:t>等</w:t>
      </w:r>
      <w:r>
        <w:rPr>
          <w:rFonts w:hint="default" w:ascii="Times New Roman" w:hAnsi="Times New Roman" w:eastAsia="仿宋_GB2312" w:cs="Times New Roman"/>
          <w:b w:val="0"/>
          <w:bCs w:val="0"/>
          <w:spacing w:val="0"/>
          <w:sz w:val="30"/>
          <w:szCs w:val="30"/>
        </w:rPr>
        <w:t>研究</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形成推动成渝法治联动的协作机制、政策建议和研究报告，为平安成渝、法治成渝建设提出决策咨询、法治建言、法律服务。</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有关说明：该课题由省委政法委组织并出具推荐函，商相关归口单位推荐上报，限推荐1项，申报经费不超过10万元。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lang w:eastAsia="zh-CN"/>
        </w:rPr>
        <w:t>成渝地区双城经济圈协同高质量发展评价指数研究。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客观总结成渝地区双城经济圈建设取得成效及存在问题，研究构建双城经济圈协同高质量发展量化指标评价体系，提出双城经济圈协同高质量发展相关政策建议，为评价评估双城经济圈高质量协调发展程度提供参考借鉴。</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考核指标：政策建议7条，研究报告1篇，论文2篇，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有关说明：该课题由省发展改革委组织并出具推荐函，商相关归口单位推荐上报，限推荐1项，申报经费不超过10万元。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（3）</w:t>
      </w:r>
      <w:r>
        <w:rPr>
          <w:rFonts w:hint="default" w:ascii="Times New Roman" w:hAnsi="Times New Roman" w:eastAsia="仿宋_GB2312" w:cs="Times New Roman"/>
          <w:b w:val="0"/>
          <w:bCs w:val="0"/>
          <w:spacing w:val="0"/>
          <w:sz w:val="30"/>
          <w:szCs w:val="30"/>
          <w:vertAlign w:val="baseline"/>
          <w:lang w:eastAsia="zh-CN"/>
        </w:rPr>
        <w:t>从西部综合交通枢纽到全国交通极的内涵与路径研究。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lang w:eastAsia="zh-CN"/>
        </w:rPr>
        <w:t>聚焦</w:t>
      </w:r>
      <w:r>
        <w:rPr>
          <w:rFonts w:hint="default" w:ascii="Times New Roman" w:hAnsi="Times New Roman" w:eastAsia="仿宋_GB2312" w:cs="Times New Roman"/>
          <w:b w:val="0"/>
          <w:bCs w:val="0"/>
          <w:spacing w:val="0"/>
          <w:sz w:val="30"/>
          <w:szCs w:val="30"/>
        </w:rPr>
        <w:t>成渝地区双城经济圈建设为全国交通第四极，分析研究西部综合交通枢纽到交通极的内涵演变</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基础和短板，提出四川建设全国交通极的关键路径、重点任务和政策体系</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为四川参与建设全国交通极提供理论基础。</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交通运输厅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（4）</w:t>
      </w:r>
      <w:r>
        <w:rPr>
          <w:rFonts w:hint="default" w:ascii="Times New Roman" w:hAnsi="Times New Roman" w:eastAsia="仿宋_GB2312" w:cs="Times New Roman"/>
          <w:b w:val="0"/>
          <w:bCs w:val="0"/>
          <w:spacing w:val="0"/>
          <w:sz w:val="30"/>
          <w:szCs w:val="30"/>
          <w:vertAlign w:val="baseline"/>
          <w:lang w:eastAsia="zh-CN"/>
        </w:rPr>
        <w:t>成渝地区生态环境保护科技协同创新机制研究。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推动成渝地区生态同筑、环境共治、风险联防、绿色转型科技创新合作，系统分析成渝地区生态环境保护协同创新存在的短板与不足，研究成渝双城经济圈发展背景下生态环境保护科技协同创新机制，形成推动成渝地区生态环境保护科技协同创新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3</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（5）</w:t>
      </w:r>
      <w:r>
        <w:rPr>
          <w:rFonts w:hint="default" w:ascii="Times New Roman" w:hAnsi="Times New Roman" w:eastAsia="仿宋_GB2312" w:cs="Times New Roman"/>
          <w:b w:val="0"/>
          <w:bCs w:val="0"/>
          <w:spacing w:val="-11"/>
          <w:kern w:val="2"/>
          <w:sz w:val="30"/>
          <w:szCs w:val="30"/>
          <w:vertAlign w:val="baseline"/>
          <w:lang w:val="en-US" w:eastAsia="zh-CN" w:bidi="ar-SA"/>
        </w:rPr>
        <w:t>成渝地区双城经济圈人才作用发挥及政策支撑优化研究。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研究内容：重点研究成渝地区人才队伍作用发挥不足、政策设计不适应双城协同发展等问题，梳理川渝两地人才作用、政策不适应现状，提出成渝地区人才政策优化思路和路径，形成有关政策建议和研究报告。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论文</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有关说明：该课题由省社科院组织</w:t>
      </w:r>
      <w:r>
        <w:rPr>
          <w:rFonts w:hint="eastAsia" w:ascii="Times New Roman" w:hAnsi="Times New Roman" w:eastAsia="仿宋_GB2312" w:cs="Times New Roman"/>
          <w:b w:val="0"/>
          <w:bCs w:val="0"/>
          <w:spacing w:val="0"/>
          <w:sz w:val="30"/>
          <w:szCs w:val="30"/>
          <w:lang w:val="en-US" w:eastAsia="zh-CN"/>
        </w:rPr>
        <w:t>并出具推荐函</w:t>
      </w:r>
      <w:r>
        <w:rPr>
          <w:rFonts w:hint="default" w:ascii="Times New Roman" w:hAnsi="Times New Roman" w:eastAsia="仿宋_GB2312" w:cs="Times New Roman"/>
          <w:b w:val="0"/>
          <w:bCs w:val="0"/>
          <w:spacing w:val="0"/>
          <w:sz w:val="30"/>
          <w:szCs w:val="30"/>
          <w:lang w:val="en-US" w:eastAsia="zh-CN"/>
        </w:rPr>
        <w:t>，商相关归口单位推荐上报，限推荐1项，申报经费不超过10万元。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（6）</w:t>
      </w:r>
      <w:r>
        <w:rPr>
          <w:rFonts w:hint="default" w:ascii="Times New Roman" w:hAnsi="Times New Roman" w:eastAsia="仿宋_GB2312" w:cs="Times New Roman"/>
          <w:b w:val="0"/>
          <w:bCs w:val="0"/>
          <w:spacing w:val="0"/>
          <w:sz w:val="30"/>
          <w:szCs w:val="30"/>
          <w:vertAlign w:val="baseline"/>
          <w:lang w:eastAsia="zh-CN"/>
        </w:rPr>
        <w:t>川渝毗邻地区跨省域财税一体化实践研究。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解决经济区与行政区适度改革中出现的跨省域财税差异和财税共享问题，以广安市为样本，研究川渝毗邻地区探索跨省域财税一体化创新经验、难点痛点，为探索经济区与行政区适度分离改革提供财税方面的探索实践和案例，提出合作模式、体制改革和政策执行等方面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有关说明：该课题由广安市科技局组织并出具推荐函，商相关归口单位推荐上报，限推荐1项，申报经费不超过10万元。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vertAlign w:val="baseline"/>
          <w:lang w:val="en-US" w:eastAsia="zh-CN"/>
        </w:rPr>
        <w:t>1.2 乡村振兴战略研究课题</w:t>
      </w:r>
      <w:r>
        <w:rPr>
          <w:rFonts w:hint="default" w:ascii="Times New Roman" w:hAnsi="Times New Roman" w:eastAsia="仿宋_GB2312" w:cs="Times New Roman"/>
          <w:b w:val="0"/>
          <w:bCs w:val="0"/>
          <w:spacing w:val="0"/>
          <w:sz w:val="30"/>
          <w:szCs w:val="30"/>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11"/>
          <w:sz w:val="30"/>
          <w:szCs w:val="30"/>
          <w:lang w:eastAsia="zh-CN"/>
        </w:rPr>
      </w:pPr>
      <w:r>
        <w:rPr>
          <w:rFonts w:hint="default" w:ascii="Times New Roman" w:hAnsi="Times New Roman" w:eastAsia="仿宋_GB2312" w:cs="Times New Roman"/>
          <w:b w:val="0"/>
          <w:bCs w:val="0"/>
          <w:spacing w:val="0"/>
          <w:sz w:val="30"/>
          <w:szCs w:val="30"/>
          <w:lang w:val="en-US" w:eastAsia="zh-CN"/>
        </w:rPr>
        <w:t>（7）</w:t>
      </w:r>
      <w:r>
        <w:rPr>
          <w:rFonts w:hint="default" w:ascii="Times New Roman" w:hAnsi="Times New Roman" w:eastAsia="仿宋_GB2312" w:cs="Times New Roman"/>
          <w:b w:val="0"/>
          <w:bCs w:val="0"/>
          <w:spacing w:val="-11"/>
          <w:sz w:val="30"/>
          <w:szCs w:val="30"/>
        </w:rPr>
        <w:t>四川省乡村振兴成功案例分析及乡村振兴发展战略研究</w:t>
      </w:r>
      <w:r>
        <w:rPr>
          <w:rFonts w:hint="default" w:ascii="Times New Roman" w:hAnsi="Times New Roman" w:eastAsia="仿宋_GB2312" w:cs="Times New Roman"/>
          <w:b w:val="0"/>
          <w:bCs w:val="0"/>
          <w:spacing w:val="-11"/>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rPr>
        <w:t>研究内容：围绕</w:t>
      </w:r>
      <w:r>
        <w:rPr>
          <w:rFonts w:hint="default" w:ascii="Times New Roman" w:hAnsi="Times New Roman" w:eastAsia="仿宋_GB2312" w:cs="Times New Roman"/>
          <w:b w:val="0"/>
          <w:bCs w:val="0"/>
          <w:spacing w:val="0"/>
          <w:sz w:val="30"/>
          <w:szCs w:val="30"/>
          <w:lang w:eastAsia="zh-CN"/>
        </w:rPr>
        <w:t>四川省</w:t>
      </w:r>
      <w:r>
        <w:rPr>
          <w:rFonts w:hint="default" w:ascii="Times New Roman" w:hAnsi="Times New Roman" w:eastAsia="仿宋_GB2312" w:cs="Times New Roman"/>
          <w:b w:val="0"/>
          <w:bCs w:val="0"/>
          <w:spacing w:val="0"/>
          <w:sz w:val="30"/>
          <w:szCs w:val="30"/>
        </w:rPr>
        <w:t>乡村产业振兴、人才振兴、文化振兴、生态振兴、组织振兴</w:t>
      </w:r>
      <w:r>
        <w:rPr>
          <w:rFonts w:hint="default" w:ascii="Times New Roman" w:hAnsi="Times New Roman" w:eastAsia="仿宋_GB2312" w:cs="Times New Roman"/>
          <w:b w:val="0"/>
          <w:bCs w:val="0"/>
          <w:spacing w:val="0"/>
          <w:sz w:val="30"/>
          <w:szCs w:val="30"/>
          <w:lang w:eastAsia="zh-CN"/>
        </w:rPr>
        <w:t>等</w:t>
      </w:r>
      <w:r>
        <w:rPr>
          <w:rFonts w:hint="default" w:ascii="Times New Roman" w:hAnsi="Times New Roman" w:eastAsia="仿宋_GB2312" w:cs="Times New Roman"/>
          <w:b w:val="0"/>
          <w:bCs w:val="0"/>
          <w:spacing w:val="0"/>
          <w:sz w:val="30"/>
          <w:szCs w:val="30"/>
        </w:rPr>
        <w:t>成功案例调研分析，总结提炼成功经验</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模式</w:t>
      </w:r>
      <w:r>
        <w:rPr>
          <w:rFonts w:hint="default" w:ascii="Times New Roman" w:hAnsi="Times New Roman" w:eastAsia="仿宋_GB2312" w:cs="Times New Roman"/>
          <w:b w:val="0"/>
          <w:bCs w:val="0"/>
          <w:spacing w:val="0"/>
          <w:sz w:val="30"/>
          <w:szCs w:val="30"/>
          <w:lang w:eastAsia="zh-CN"/>
        </w:rPr>
        <w:t>和案例</w:t>
      </w:r>
      <w:r>
        <w:rPr>
          <w:rFonts w:hint="default" w:ascii="Times New Roman" w:hAnsi="Times New Roman" w:eastAsia="仿宋_GB2312" w:cs="Times New Roman"/>
          <w:b w:val="0"/>
          <w:bCs w:val="0"/>
          <w:spacing w:val="0"/>
          <w:sz w:val="30"/>
          <w:szCs w:val="30"/>
        </w:rPr>
        <w:t>，剖析存在问题，形成</w:t>
      </w:r>
      <w:r>
        <w:rPr>
          <w:rFonts w:hint="default" w:ascii="Times New Roman" w:hAnsi="Times New Roman" w:eastAsia="仿宋_GB2312" w:cs="Times New Roman"/>
          <w:b w:val="0"/>
          <w:bCs w:val="0"/>
          <w:spacing w:val="0"/>
          <w:sz w:val="30"/>
          <w:szCs w:val="30"/>
          <w:lang w:eastAsia="zh-CN"/>
        </w:rPr>
        <w:t>四川省</w:t>
      </w:r>
      <w:r>
        <w:rPr>
          <w:rFonts w:hint="default" w:ascii="Times New Roman" w:hAnsi="Times New Roman" w:eastAsia="仿宋_GB2312" w:cs="Times New Roman"/>
          <w:b w:val="0"/>
          <w:bCs w:val="0"/>
          <w:spacing w:val="0"/>
          <w:sz w:val="30"/>
          <w:szCs w:val="30"/>
        </w:rPr>
        <w:t>乡村振兴成功案例分析报告和案例汇编</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提出四川乡村振兴</w:t>
      </w:r>
      <w:r>
        <w:rPr>
          <w:rFonts w:hint="default" w:ascii="Times New Roman" w:hAnsi="Times New Roman" w:eastAsia="仿宋_GB2312" w:cs="Times New Roman"/>
          <w:b w:val="0"/>
          <w:bCs w:val="0"/>
          <w:spacing w:val="0"/>
          <w:sz w:val="30"/>
          <w:szCs w:val="30"/>
          <w:lang w:eastAsia="zh-CN"/>
        </w:rPr>
        <w:t>的</w:t>
      </w:r>
      <w:r>
        <w:rPr>
          <w:rFonts w:hint="default" w:ascii="Times New Roman" w:hAnsi="Times New Roman" w:eastAsia="仿宋_GB2312" w:cs="Times New Roman"/>
          <w:b w:val="0"/>
          <w:bCs w:val="0"/>
          <w:spacing w:val="0"/>
          <w:sz w:val="30"/>
          <w:szCs w:val="30"/>
        </w:rPr>
        <w:t>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考核指标：政策建议3条，研究报告1篇，论文1篇，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省乡村振兴局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（8）</w:t>
      </w:r>
      <w:r>
        <w:rPr>
          <w:rFonts w:hint="default" w:ascii="Times New Roman" w:hAnsi="Times New Roman" w:eastAsia="仿宋_GB2312" w:cs="Times New Roman"/>
          <w:b w:val="0"/>
          <w:bCs w:val="0"/>
          <w:spacing w:val="0"/>
          <w:sz w:val="30"/>
          <w:szCs w:val="30"/>
          <w:lang w:eastAsia="zh-CN"/>
        </w:rPr>
        <w:t>绵阳革命老区红色文化传承发展助推乡村振兴战略实践研究。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围绕红色文化和传承红军精神，以绵阳市为样本，对革命老区红色资源进行挖掘、收集、整理，研究革命老区脱贫模式、经验和典型案例，形成红军精神激励的革命老区乡村振兴对策，为革命老区的振兴发展提供创新思路和有益借鉴。</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论文</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eastAsia="zh-CN"/>
        </w:rPr>
        <w:t>，专著</w:t>
      </w:r>
      <w:r>
        <w:rPr>
          <w:rFonts w:hint="default" w:ascii="Times New Roman" w:hAnsi="Times New Roman" w:eastAsia="仿宋_GB2312" w:cs="Times New Roman"/>
          <w:b w:val="0"/>
          <w:bCs w:val="0"/>
          <w:spacing w:val="0"/>
          <w:sz w:val="30"/>
          <w:szCs w:val="30"/>
          <w:lang w:val="en-US" w:eastAsia="zh-CN"/>
        </w:rPr>
        <w:t>1部，</w:t>
      </w:r>
      <w:r>
        <w:rPr>
          <w:rFonts w:hint="default" w:ascii="Times New Roman" w:hAnsi="Times New Roman" w:eastAsia="仿宋_GB2312" w:cs="Times New Roman"/>
          <w:b w:val="0"/>
          <w:bCs w:val="0"/>
          <w:color w:val="000000"/>
          <w:spacing w:val="0"/>
          <w:sz w:val="30"/>
          <w:szCs w:val="30"/>
          <w:lang w:val="en-US" w:eastAsia="zh-CN"/>
        </w:rPr>
        <w:t>其他2项</w:t>
      </w:r>
      <w:r>
        <w:rPr>
          <w:rFonts w:hint="default" w:ascii="Times New Roman" w:hAnsi="Times New Roman" w:eastAsia="仿宋_GB2312" w:cs="Times New Roman"/>
          <w:b w:val="0"/>
          <w:bCs w:val="0"/>
          <w:color w:val="000000"/>
          <w:spacing w:val="0"/>
          <w:sz w:val="30"/>
          <w:szCs w:val="30"/>
          <w:lang w:eastAsia="zh-CN"/>
        </w:rPr>
        <w:t>（制作图册1部，</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绵阳市科技局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（9）</w:t>
      </w:r>
      <w:r>
        <w:rPr>
          <w:rFonts w:hint="default" w:ascii="Times New Roman" w:hAnsi="Times New Roman" w:eastAsia="仿宋_GB2312" w:cs="Times New Roman"/>
          <w:b w:val="0"/>
          <w:bCs w:val="0"/>
          <w:spacing w:val="0"/>
          <w:sz w:val="30"/>
          <w:szCs w:val="30"/>
          <w:lang w:eastAsia="zh-CN"/>
        </w:rPr>
        <w:t>科技助力旺苍县乡村振兴问题研究。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围绕解决旺苍县在巩固拓展脱贫攻坚成果中存在的薄弱环节，分析旺苍县乡村振兴现状与问题，研究科技助力乡村振兴协同创新理论，探索科技助力旺苍县乡村振兴的运行模式，形成科技助力盆周山区乡村振兴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论文</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1.3 科技创新战略和规划研究课题。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（10）</w:t>
      </w:r>
      <w:r>
        <w:rPr>
          <w:rFonts w:hint="default" w:ascii="Times New Roman" w:hAnsi="Times New Roman" w:eastAsia="仿宋_GB2312" w:cs="Times New Roman"/>
          <w:b w:val="0"/>
          <w:bCs w:val="0"/>
          <w:spacing w:val="0"/>
          <w:sz w:val="30"/>
          <w:szCs w:val="30"/>
          <w:lang w:eastAsia="zh-CN"/>
        </w:rPr>
        <w:t>科技创新驱动四川推进共同富裕的时代内涵、现实挑战和实践路径研究。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研究科技创新驱动四川推进共同富裕的历史脉络与特征、时代内涵和地位、现存瓶颈及问题，梳理科技创新驱动四川推进共同富裕的对策建议和实践路径，为四川走出一条符合中央要求、契合四川实际的共同富裕新路子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有关说明：该课题由科技厅组织，商相关归口单位推荐上报，限推荐1项，申报经费不超过30万元。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vertAlign w:val="baseline"/>
          <w:lang w:val="en-US" w:eastAsia="zh-CN"/>
        </w:rPr>
        <w:t>（11）四川省“十四五”高新技术产业发展规划研究。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vertAlign w:val="baseline"/>
          <w:lang w:val="en-US" w:eastAsia="zh-CN"/>
        </w:rPr>
        <w:t>研究内容：研究我省高新技术产业发展现状与形势，开展重点领域共性技术攻关、重点基地和平台建设、重点行动计划等方面研究，形成四川省“十四五”高新技术产业发展规划。</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rPr>
        <w:t>考核指标：</w:t>
      </w:r>
      <w:r>
        <w:rPr>
          <w:rFonts w:hint="default" w:ascii="Times New Roman" w:hAnsi="Times New Roman" w:eastAsia="仿宋_GB2312" w:cs="Times New Roman"/>
          <w:b w:val="0"/>
          <w:bCs w:val="0"/>
          <w:spacing w:val="0"/>
          <w:sz w:val="30"/>
          <w:szCs w:val="30"/>
          <w:lang w:eastAsia="zh-CN"/>
        </w:rPr>
        <w:t>政策建议</w:t>
      </w:r>
      <w:r>
        <w:rPr>
          <w:rFonts w:hint="default" w:ascii="Times New Roman" w:hAnsi="Times New Roman" w:eastAsia="仿宋_GB2312" w:cs="Times New Roman"/>
          <w:b w:val="0"/>
          <w:bCs w:val="0"/>
          <w:spacing w:val="0"/>
          <w:sz w:val="30"/>
          <w:szCs w:val="30"/>
          <w:lang w:val="en-US" w:eastAsia="zh-CN"/>
        </w:rPr>
        <w:t>2条，</w:t>
      </w:r>
      <w:r>
        <w:rPr>
          <w:rFonts w:hint="default" w:ascii="Times New Roman" w:hAnsi="Times New Roman" w:eastAsia="仿宋_GB2312" w:cs="Times New Roman"/>
          <w:b w:val="0"/>
          <w:bCs w:val="0"/>
          <w:spacing w:val="0"/>
          <w:sz w:val="30"/>
          <w:szCs w:val="30"/>
          <w:vertAlign w:val="baseline"/>
          <w:lang w:val="en-US" w:eastAsia="zh-CN"/>
        </w:rPr>
        <w:t>研究报告1篇，论文1 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（形成《</w:t>
      </w:r>
      <w:r>
        <w:rPr>
          <w:rFonts w:hint="default" w:ascii="Times New Roman" w:hAnsi="Times New Roman" w:eastAsia="仿宋_GB2312" w:cs="Times New Roman"/>
          <w:b w:val="0"/>
          <w:bCs w:val="0"/>
          <w:spacing w:val="0"/>
          <w:sz w:val="30"/>
          <w:szCs w:val="30"/>
          <w:vertAlign w:val="baseline"/>
          <w:lang w:val="en-US" w:eastAsia="zh-CN"/>
        </w:rPr>
        <w:t>四川省“十四五”高新技术产业发展规划</w:t>
      </w:r>
      <w:r>
        <w:rPr>
          <w:rFonts w:hint="default" w:ascii="Times New Roman" w:hAnsi="Times New Roman" w:eastAsia="仿宋_GB2312" w:cs="Times New Roman"/>
          <w:b w:val="0"/>
          <w:bCs w:val="0"/>
          <w:color w:val="000000"/>
          <w:spacing w:val="0"/>
          <w:sz w:val="30"/>
          <w:szCs w:val="30"/>
          <w:lang w:eastAsia="zh-CN"/>
        </w:rPr>
        <w:t>》文本）</w:t>
      </w:r>
      <w:r>
        <w:rPr>
          <w:rFonts w:hint="default" w:ascii="Times New Roman" w:hAnsi="Times New Roman" w:eastAsia="仿宋_GB2312" w:cs="Times New Roman"/>
          <w:b w:val="0"/>
          <w:bCs w:val="0"/>
          <w:spacing w:val="0"/>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vertAlign w:val="baseline"/>
          <w:lang w:val="en-US" w:eastAsia="zh-CN"/>
        </w:rPr>
        <w:t>1.4 数字经济发展研究</w:t>
      </w:r>
      <w:r>
        <w:rPr>
          <w:rFonts w:hint="default" w:ascii="Times New Roman" w:hAnsi="Times New Roman" w:eastAsia="仿宋_GB2312" w:cs="Times New Roman"/>
          <w:b w:val="0"/>
          <w:bCs w:val="0"/>
          <w:spacing w:val="0"/>
          <w:sz w:val="30"/>
          <w:szCs w:val="30"/>
          <w:vertAlign w:val="baseline"/>
          <w:lang w:eastAsia="zh-CN"/>
        </w:rPr>
        <w:t>课题</w:t>
      </w:r>
      <w:r>
        <w:rPr>
          <w:rFonts w:hint="default" w:ascii="Times New Roman" w:hAnsi="Times New Roman" w:eastAsia="仿宋_GB2312" w:cs="Times New Roman"/>
          <w:b w:val="0"/>
          <w:bCs w:val="0"/>
          <w:spacing w:val="0"/>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lang w:val="en-US" w:eastAsia="zh-CN"/>
        </w:rPr>
        <w:t>（12）</w:t>
      </w:r>
      <w:r>
        <w:rPr>
          <w:rFonts w:hint="default" w:ascii="Times New Roman" w:hAnsi="Times New Roman" w:eastAsia="仿宋_GB2312" w:cs="Times New Roman"/>
          <w:b w:val="0"/>
          <w:bCs w:val="0"/>
          <w:spacing w:val="0"/>
          <w:sz w:val="30"/>
          <w:szCs w:val="30"/>
          <w:lang w:eastAsia="zh-CN"/>
        </w:rPr>
        <w:t>数字经济赋能川西北民族地区文旅融合发展模式和路径研究。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lang w:eastAsia="zh-CN"/>
        </w:rPr>
        <w:t>以甘孜州为样板，分析</w:t>
      </w:r>
      <w:r>
        <w:rPr>
          <w:rFonts w:hint="default" w:ascii="Times New Roman" w:hAnsi="Times New Roman" w:eastAsia="仿宋_GB2312" w:cs="Times New Roman"/>
          <w:b w:val="0"/>
          <w:bCs w:val="0"/>
          <w:spacing w:val="0"/>
          <w:sz w:val="30"/>
          <w:szCs w:val="30"/>
        </w:rPr>
        <w:t>川西北民族地区文旅融合现状及问题</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研究数字经济赋能川西北民族地区文旅融合发展的模式</w:t>
      </w:r>
      <w:r>
        <w:rPr>
          <w:rFonts w:hint="default" w:ascii="Times New Roman" w:hAnsi="Times New Roman" w:eastAsia="仿宋_GB2312" w:cs="Times New Roman"/>
          <w:b w:val="0"/>
          <w:bCs w:val="0"/>
          <w:spacing w:val="0"/>
          <w:sz w:val="30"/>
          <w:szCs w:val="30"/>
          <w:lang w:eastAsia="zh-CN"/>
        </w:rPr>
        <w:t>和</w:t>
      </w:r>
      <w:r>
        <w:rPr>
          <w:rFonts w:hint="default" w:ascii="Times New Roman" w:hAnsi="Times New Roman" w:eastAsia="仿宋_GB2312" w:cs="Times New Roman"/>
          <w:b w:val="0"/>
          <w:bCs w:val="0"/>
          <w:spacing w:val="0"/>
          <w:sz w:val="30"/>
          <w:szCs w:val="30"/>
        </w:rPr>
        <w:t>路径</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形成</w:t>
      </w:r>
      <w:r>
        <w:rPr>
          <w:rFonts w:hint="default" w:ascii="Times New Roman" w:hAnsi="Times New Roman" w:eastAsia="仿宋_GB2312" w:cs="Times New Roman"/>
          <w:b w:val="0"/>
          <w:bCs w:val="0"/>
          <w:spacing w:val="0"/>
          <w:sz w:val="30"/>
          <w:szCs w:val="30"/>
          <w:lang w:eastAsia="zh-CN"/>
        </w:rPr>
        <w:t>相关</w:t>
      </w:r>
      <w:r>
        <w:rPr>
          <w:rFonts w:hint="default" w:ascii="Times New Roman" w:hAnsi="Times New Roman" w:eastAsia="仿宋_GB2312" w:cs="Times New Roman"/>
          <w:b w:val="0"/>
          <w:bCs w:val="0"/>
          <w:spacing w:val="0"/>
          <w:sz w:val="30"/>
          <w:szCs w:val="30"/>
        </w:rPr>
        <w:t>政策建议和研究报告</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为川西北民族地区文旅融合发展模式提供参考。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甘孜州科技局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lang w:val="en-US" w:eastAsia="zh-CN"/>
        </w:rPr>
        <w:t>（13）</w:t>
      </w:r>
      <w:r>
        <w:rPr>
          <w:rFonts w:hint="default" w:ascii="Times New Roman" w:hAnsi="Times New Roman" w:eastAsia="仿宋_GB2312" w:cs="Times New Roman"/>
          <w:b w:val="0"/>
          <w:bCs w:val="0"/>
          <w:spacing w:val="0"/>
          <w:sz w:val="30"/>
          <w:szCs w:val="30"/>
          <w:lang w:eastAsia="zh-CN"/>
        </w:rPr>
        <w:t>数字技术赋能川东北传统制造业转型升级路径与对策研究。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lang w:eastAsia="zh-CN"/>
        </w:rPr>
        <w:t>以南充市为样本，分析川东北地区</w:t>
      </w:r>
      <w:r>
        <w:rPr>
          <w:rFonts w:hint="default" w:ascii="Times New Roman" w:hAnsi="Times New Roman" w:eastAsia="仿宋_GB2312" w:cs="Times New Roman"/>
          <w:b w:val="0"/>
          <w:bCs w:val="0"/>
          <w:spacing w:val="0"/>
          <w:sz w:val="30"/>
          <w:szCs w:val="30"/>
        </w:rPr>
        <w:t>传统制造业数字化转型升级现状</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问题</w:t>
      </w:r>
      <w:r>
        <w:rPr>
          <w:rFonts w:hint="default" w:ascii="Times New Roman" w:hAnsi="Times New Roman" w:eastAsia="仿宋_GB2312" w:cs="Times New Roman"/>
          <w:b w:val="0"/>
          <w:bCs w:val="0"/>
          <w:spacing w:val="0"/>
          <w:sz w:val="30"/>
          <w:szCs w:val="30"/>
          <w:lang w:eastAsia="zh-CN"/>
        </w:rPr>
        <w:t>和</w:t>
      </w:r>
      <w:r>
        <w:rPr>
          <w:rFonts w:hint="default" w:ascii="Times New Roman" w:hAnsi="Times New Roman" w:eastAsia="仿宋_GB2312" w:cs="Times New Roman"/>
          <w:b w:val="0"/>
          <w:bCs w:val="0"/>
          <w:spacing w:val="0"/>
          <w:sz w:val="30"/>
          <w:szCs w:val="30"/>
        </w:rPr>
        <w:t>发展趋势</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研究传统制造业数字化转型升级发展路径</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研究传统制造业数字化转型升级对策建议</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为</w:t>
      </w:r>
      <w:r>
        <w:rPr>
          <w:rFonts w:hint="default" w:ascii="Times New Roman" w:hAnsi="Times New Roman" w:eastAsia="仿宋_GB2312" w:cs="Times New Roman"/>
          <w:b w:val="0"/>
          <w:bCs w:val="0"/>
          <w:spacing w:val="0"/>
          <w:sz w:val="30"/>
          <w:szCs w:val="30"/>
          <w:lang w:eastAsia="zh-CN"/>
        </w:rPr>
        <w:t>四川</w:t>
      </w:r>
      <w:r>
        <w:rPr>
          <w:rFonts w:hint="default" w:ascii="Times New Roman" w:hAnsi="Times New Roman" w:eastAsia="仿宋_GB2312" w:cs="Times New Roman"/>
          <w:b w:val="0"/>
          <w:bCs w:val="0"/>
          <w:spacing w:val="0"/>
          <w:sz w:val="30"/>
          <w:szCs w:val="30"/>
        </w:rPr>
        <w:t>推动传统制造业数字化转型升级提供参考。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南充市科技局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1.5 现代农业发展研究</w:t>
      </w:r>
      <w:r>
        <w:rPr>
          <w:rFonts w:hint="default" w:ascii="Times New Roman" w:hAnsi="Times New Roman" w:eastAsia="仿宋_GB2312" w:cs="Times New Roman"/>
          <w:b w:val="0"/>
          <w:bCs w:val="0"/>
          <w:spacing w:val="0"/>
          <w:sz w:val="30"/>
          <w:szCs w:val="30"/>
          <w:vertAlign w:val="baseline"/>
          <w:lang w:eastAsia="zh-CN"/>
        </w:rPr>
        <w:t>课题</w:t>
      </w:r>
      <w:r>
        <w:rPr>
          <w:rFonts w:hint="default" w:ascii="Times New Roman" w:hAnsi="Times New Roman" w:eastAsia="仿宋_GB2312" w:cs="Times New Roman"/>
          <w:b w:val="0"/>
          <w:bCs w:val="0"/>
          <w:spacing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（14）</w:t>
      </w:r>
      <w:r>
        <w:rPr>
          <w:rFonts w:hint="default" w:ascii="Times New Roman" w:hAnsi="Times New Roman" w:eastAsia="仿宋_GB2312" w:cs="Times New Roman"/>
          <w:b w:val="0"/>
          <w:bCs w:val="0"/>
          <w:spacing w:val="0"/>
          <w:sz w:val="30"/>
          <w:szCs w:val="30"/>
          <w:vertAlign w:val="baseline"/>
          <w:lang w:eastAsia="zh-CN"/>
        </w:rPr>
        <w:t>中小散户畜禽养殖污染治理模式及长效机制研究。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四川省中小散户畜禽养殖污染问题突出，监测中小散户养殖产排污参数，研究中小散户养殖污染治理模式，形成中小散户畜禽养殖污染治理模式及长效机制的政策建议和研究报告，为制定相关监管政策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考核指标：政策建议3条，研究报告1篇，论文1篇，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农业农村厅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11"/>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eastAsia="zh-CN"/>
        </w:rPr>
        <w:t>（</w:t>
      </w:r>
      <w:r>
        <w:rPr>
          <w:rFonts w:hint="default" w:ascii="Times New Roman" w:hAnsi="Times New Roman" w:eastAsia="仿宋_GB2312" w:cs="Times New Roman"/>
          <w:b w:val="0"/>
          <w:bCs w:val="0"/>
          <w:spacing w:val="0"/>
          <w:sz w:val="30"/>
          <w:szCs w:val="30"/>
          <w:vertAlign w:val="baseline"/>
          <w:lang w:val="en-US" w:eastAsia="zh-CN"/>
        </w:rPr>
        <w:t>15</w:t>
      </w:r>
      <w:r>
        <w:rPr>
          <w:rFonts w:hint="default" w:ascii="Times New Roman" w:hAnsi="Times New Roman" w:eastAsia="仿宋_GB2312" w:cs="Times New Roman"/>
          <w:b w:val="0"/>
          <w:bCs w:val="0"/>
          <w:spacing w:val="0"/>
          <w:sz w:val="30"/>
          <w:szCs w:val="30"/>
          <w:vertAlign w:val="baseline"/>
          <w:lang w:eastAsia="zh-CN"/>
        </w:rPr>
        <w:t>）</w:t>
      </w:r>
      <w:r>
        <w:rPr>
          <w:rFonts w:hint="default" w:ascii="Times New Roman" w:hAnsi="Times New Roman" w:eastAsia="仿宋_GB2312" w:cs="Times New Roman"/>
          <w:b w:val="0"/>
          <w:bCs w:val="0"/>
          <w:spacing w:val="-11"/>
          <w:sz w:val="30"/>
          <w:szCs w:val="30"/>
          <w:vertAlign w:val="baseline"/>
          <w:lang w:eastAsia="zh-CN"/>
        </w:rPr>
        <w:t>面向粮食源头污染的粮食资源综合利用模式及政策研究。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四川省部分地区粮食源头污染的现实问题，重点开展以用途为导向的粮食资源综合利用模式和配套制度研究，形成适合四川粮食产业经济健康、循环发展的粮食污染地区资源综合利用科学模式建议方案，并配套相关政策制度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省粮食和储备局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lang w:val="en-US" w:eastAsia="zh-CN"/>
        </w:rPr>
        <w:t>（16）</w:t>
      </w:r>
      <w:r>
        <w:rPr>
          <w:rFonts w:hint="default" w:ascii="Times New Roman" w:hAnsi="Times New Roman" w:eastAsia="仿宋_GB2312" w:cs="Times New Roman"/>
          <w:b w:val="0"/>
          <w:bCs w:val="0"/>
          <w:spacing w:val="0"/>
          <w:sz w:val="30"/>
          <w:szCs w:val="30"/>
          <w:lang w:eastAsia="zh-CN"/>
        </w:rPr>
        <w:t>山区农业县现代农业发展研究。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lang w:eastAsia="zh-CN"/>
        </w:rPr>
        <w:t>以雅安市为样本，</w:t>
      </w:r>
      <w:r>
        <w:rPr>
          <w:rFonts w:hint="default" w:ascii="Times New Roman" w:hAnsi="Times New Roman" w:eastAsia="仿宋_GB2312" w:cs="Times New Roman"/>
          <w:b w:val="0"/>
          <w:bCs w:val="0"/>
          <w:spacing w:val="0"/>
          <w:sz w:val="30"/>
          <w:szCs w:val="30"/>
        </w:rPr>
        <w:t>开展山区农业县现代农业发展存在的现实问题、发展模式、政策制度等研究</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分析山区农业县现代农业发展现实困境，提出山区农业县现代农业发展的发力重点和模式创新路径。</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雅安市科技局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（17）</w:t>
      </w:r>
      <w:r>
        <w:rPr>
          <w:rFonts w:hint="default" w:ascii="Times New Roman" w:hAnsi="Times New Roman" w:eastAsia="仿宋_GB2312" w:cs="Times New Roman"/>
          <w:b w:val="0"/>
          <w:bCs w:val="0"/>
          <w:spacing w:val="0"/>
          <w:sz w:val="30"/>
          <w:szCs w:val="30"/>
          <w:lang w:eastAsia="zh-CN"/>
        </w:rPr>
        <w:t>四川秦巴山区粮食稳产增产及饲料粮安全保障研究。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研究内容：以广元市为样本，围绕秦巴山区粮食种植面积缩小、农户种植积极性不高、饲草与粮食争地等现实问题，重点开展政策制度、产业调查、栽培模式等研究，形成推动四川省秦巴山区粮食稳产增产及饲料粮安全保障的研究报告和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考核指标：政策建议2条，研究报告1篇，论文2篇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广元市科技局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1.6 生物医药产业发展研究课题。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（18）四川省药用动物规范化生产现状及可持续利用研究</w:t>
      </w:r>
      <w:r>
        <w:rPr>
          <w:rFonts w:hint="default" w:ascii="Times New Roman" w:hAnsi="Times New Roman" w:eastAsia="仿宋_GB2312" w:cs="Times New Roman"/>
          <w:b w:val="0"/>
          <w:bCs w:val="0"/>
          <w:spacing w:val="0"/>
          <w:sz w:val="30"/>
          <w:szCs w:val="30"/>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围绕四川省药用动物开展资源调查、规范化生产、安全性评价等研究，寻找防御应对机制与措施，探索动物药可持续利用的分类管理体系，形成药用动物规范化生产的政策建议和研究报告，为药用动物驯化养殖规范化、规模化提供发展路径。</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省药监局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（19）</w:t>
      </w:r>
      <w:r>
        <w:rPr>
          <w:rFonts w:hint="default" w:ascii="Times New Roman" w:hAnsi="Times New Roman" w:eastAsia="仿宋_GB2312" w:cs="Times New Roman"/>
          <w:b w:val="0"/>
          <w:bCs w:val="0"/>
          <w:spacing w:val="0"/>
          <w:sz w:val="30"/>
          <w:szCs w:val="30"/>
          <w:vertAlign w:val="baseline"/>
          <w:lang w:eastAsia="zh-CN"/>
        </w:rPr>
        <w:t>科技支撑四川中医药传承创新发展方法和策略研究。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梳理分析四川省中医药发展的现状、优势及亟需突破的关键核心问题，开展四川省中医药传承创新发展的科学需求调研，形成科技支撑四川中医药传承创新发展的政策建议和研究报告，为落实四川国家中医药综合改革示范区和中医药强省建设相关科技创新工作任务提供支撑和决策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2-3</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 xml:space="preserve">1.7 </w:t>
      </w:r>
      <w:r>
        <w:rPr>
          <w:rFonts w:hint="default" w:ascii="Times New Roman" w:hAnsi="Times New Roman" w:eastAsia="仿宋_GB2312" w:cs="Times New Roman"/>
          <w:b w:val="0"/>
          <w:bCs w:val="0"/>
          <w:spacing w:val="0"/>
          <w:sz w:val="30"/>
          <w:szCs w:val="30"/>
          <w:vertAlign w:val="baseline"/>
          <w:lang w:eastAsia="zh-CN"/>
        </w:rPr>
        <w:t>区域经济与城乡融合发展研究课题。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（20）</w:t>
      </w:r>
      <w:r>
        <w:rPr>
          <w:rFonts w:hint="default" w:ascii="Times New Roman" w:hAnsi="Times New Roman" w:eastAsia="仿宋_GB2312" w:cs="Times New Roman"/>
          <w:b w:val="0"/>
          <w:bCs w:val="0"/>
          <w:spacing w:val="0"/>
          <w:sz w:val="30"/>
          <w:szCs w:val="30"/>
          <w:lang w:eastAsia="zh-CN"/>
        </w:rPr>
        <w:t>片区乡村规划促进城乡融合发展研究。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lang w:eastAsia="zh-CN"/>
        </w:rPr>
        <w:t>借鉴</w:t>
      </w:r>
      <w:r>
        <w:rPr>
          <w:rFonts w:hint="default" w:ascii="Times New Roman" w:hAnsi="Times New Roman" w:eastAsia="仿宋_GB2312" w:cs="Times New Roman"/>
          <w:b w:val="0"/>
          <w:bCs w:val="0"/>
          <w:spacing w:val="0"/>
          <w:sz w:val="30"/>
          <w:szCs w:val="30"/>
        </w:rPr>
        <w:t>国内外城乡融合发展的先进案例和做法</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研究以片区乡村规划优化国土空间布局促进城乡融合发展的方法</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形成</w:t>
      </w:r>
      <w:r>
        <w:rPr>
          <w:rFonts w:hint="default" w:ascii="Times New Roman" w:hAnsi="Times New Roman" w:eastAsia="仿宋_GB2312" w:cs="Times New Roman"/>
          <w:b w:val="0"/>
          <w:bCs w:val="0"/>
          <w:spacing w:val="0"/>
          <w:sz w:val="30"/>
          <w:szCs w:val="30"/>
          <w:lang w:eastAsia="zh-CN"/>
        </w:rPr>
        <w:t>四川省</w:t>
      </w:r>
      <w:r>
        <w:rPr>
          <w:rFonts w:hint="default" w:ascii="Times New Roman" w:hAnsi="Times New Roman" w:eastAsia="仿宋_GB2312" w:cs="Times New Roman"/>
          <w:b w:val="0"/>
          <w:bCs w:val="0"/>
          <w:spacing w:val="0"/>
          <w:sz w:val="30"/>
          <w:szCs w:val="30"/>
        </w:rPr>
        <w:t>以片区乡村规划促进城乡融合发展的研究报告和政策建议，为优化国土空间布局、合理配置资源要素提供方法路径。</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考核指标：政策建议1条，研究报告1篇，论文1篇，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自然资源厅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（21）四川推动共同富裕统计监测研究。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rPr>
        <w:t>研究内容：准确把握共同富裕的内涵和特征</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研究确定四川推动共同富裕的总体目标和主要指标，</w:t>
      </w:r>
      <w:r>
        <w:rPr>
          <w:rFonts w:hint="default" w:ascii="Times New Roman" w:hAnsi="Times New Roman" w:eastAsia="仿宋_GB2312" w:cs="Times New Roman"/>
          <w:b w:val="0"/>
          <w:bCs w:val="0"/>
          <w:spacing w:val="0"/>
          <w:sz w:val="30"/>
          <w:szCs w:val="30"/>
          <w:lang w:eastAsia="zh-CN"/>
        </w:rPr>
        <w:t>探索</w:t>
      </w:r>
      <w:r>
        <w:rPr>
          <w:rFonts w:hint="default" w:ascii="Times New Roman" w:hAnsi="Times New Roman" w:eastAsia="仿宋_GB2312" w:cs="Times New Roman"/>
          <w:b w:val="0"/>
          <w:bCs w:val="0"/>
          <w:spacing w:val="0"/>
          <w:sz w:val="30"/>
          <w:szCs w:val="30"/>
        </w:rPr>
        <w:t>构建共同富裕监测体系</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根据统计监测评价结果提出</w:t>
      </w:r>
      <w:r>
        <w:rPr>
          <w:rFonts w:hint="default" w:ascii="Times New Roman" w:hAnsi="Times New Roman" w:eastAsia="仿宋_GB2312" w:cs="Times New Roman"/>
          <w:b w:val="0"/>
          <w:bCs w:val="0"/>
          <w:spacing w:val="0"/>
          <w:sz w:val="30"/>
          <w:szCs w:val="30"/>
          <w:lang w:eastAsia="zh-CN"/>
        </w:rPr>
        <w:t>有关</w:t>
      </w:r>
      <w:r>
        <w:rPr>
          <w:rFonts w:hint="default" w:ascii="Times New Roman" w:hAnsi="Times New Roman" w:eastAsia="仿宋_GB2312" w:cs="Times New Roman"/>
          <w:b w:val="0"/>
          <w:bCs w:val="0"/>
          <w:spacing w:val="0"/>
          <w:sz w:val="30"/>
          <w:szCs w:val="30"/>
        </w:rPr>
        <w:t>政策建议</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为省委省政府科学决策提供参考。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有关说明：该课题由省统计局组织并出具推荐函，商相关归口单位推荐上报，限推荐1项，申报经费不超过10万元。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（22）</w:t>
      </w:r>
      <w:r>
        <w:rPr>
          <w:rFonts w:hint="default" w:ascii="Times New Roman" w:hAnsi="Times New Roman" w:eastAsia="仿宋_GB2312" w:cs="Times New Roman"/>
          <w:b w:val="0"/>
          <w:bCs w:val="0"/>
          <w:spacing w:val="0"/>
          <w:sz w:val="30"/>
          <w:szCs w:val="30"/>
          <w:lang w:eastAsia="zh-CN"/>
        </w:rPr>
        <w:t>县域产业结构升级与碳排放效率的时空耦合及影响因素分析。</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研究内容：围绕双城经济圈“双碳”目标实现路径，以绵阳市三区三县一市为样本，以低碳技术应用为切入点，探究产业结构升级与碳排放效率耦合协调度的时空格局及差异来源，形成绵阳市低碳技术应用与产业结构升级和优化碳排放效率的政策建议和研究报告，为开展创新型低碳产业发展提供理论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lang w:eastAsia="zh-CN"/>
        </w:rPr>
        <w:t>条，研究报告1篇，论文</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lang w:eastAsia="zh-CN"/>
        </w:rPr>
        <w:t>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绵阳市科技局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（23）</w:t>
      </w:r>
      <w:r>
        <w:rPr>
          <w:rFonts w:hint="default" w:ascii="Times New Roman" w:hAnsi="Times New Roman" w:eastAsia="仿宋_GB2312" w:cs="Times New Roman"/>
          <w:b w:val="0"/>
          <w:bCs w:val="0"/>
          <w:spacing w:val="0"/>
          <w:sz w:val="30"/>
          <w:szCs w:val="30"/>
          <w:lang w:eastAsia="zh-CN"/>
        </w:rPr>
        <w:t>县域经济特色高质量发展模式及政策制度研究。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以达州市为样本，研究县域经济发展现状和模式，研究县域经济高质量发展的战略思考和路径选择，形成推动县域特色高质量发展的政策建议和研究报告，为四川发展县域特色产业、打造县域经济特色平台、探寻县域经济特色模式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达州市科技局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vertAlign w:val="baseline"/>
          <w:lang w:val="en-US" w:eastAsia="zh-CN"/>
        </w:rPr>
        <w:t xml:space="preserve">1.8 </w:t>
      </w:r>
      <w:r>
        <w:rPr>
          <w:rFonts w:hint="default" w:ascii="Times New Roman" w:hAnsi="Times New Roman" w:eastAsia="仿宋_GB2312" w:cs="Times New Roman"/>
          <w:b w:val="0"/>
          <w:bCs w:val="0"/>
          <w:spacing w:val="0"/>
          <w:sz w:val="30"/>
          <w:szCs w:val="30"/>
          <w:vertAlign w:val="baseline"/>
          <w:lang w:eastAsia="zh-CN"/>
        </w:rPr>
        <w:t>产业园区建设研究课题。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（24）</w:t>
      </w:r>
      <w:r>
        <w:rPr>
          <w:rFonts w:hint="default" w:ascii="Times New Roman" w:hAnsi="Times New Roman" w:eastAsia="仿宋_GB2312" w:cs="Times New Roman"/>
          <w:b w:val="0"/>
          <w:bCs w:val="0"/>
          <w:spacing w:val="0"/>
          <w:sz w:val="30"/>
          <w:szCs w:val="30"/>
        </w:rPr>
        <w:t>四川涉台产业园区高质量发展研究</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rPr>
        <w:t>研究内容：围绕</w:t>
      </w:r>
      <w:r>
        <w:rPr>
          <w:rFonts w:hint="default" w:ascii="Times New Roman" w:hAnsi="Times New Roman" w:eastAsia="仿宋_GB2312" w:cs="Times New Roman"/>
          <w:b w:val="0"/>
          <w:bCs w:val="0"/>
          <w:spacing w:val="0"/>
          <w:sz w:val="30"/>
          <w:szCs w:val="30"/>
          <w:lang w:eastAsia="zh-CN"/>
        </w:rPr>
        <w:t>四川</w:t>
      </w:r>
      <w:r>
        <w:rPr>
          <w:rFonts w:hint="default" w:ascii="Times New Roman" w:hAnsi="Times New Roman" w:eastAsia="仿宋_GB2312" w:cs="Times New Roman"/>
          <w:b w:val="0"/>
          <w:bCs w:val="0"/>
          <w:spacing w:val="0"/>
          <w:sz w:val="30"/>
          <w:szCs w:val="30"/>
        </w:rPr>
        <w:t>省涉台产业园区（基地）建设</w:t>
      </w:r>
      <w:r>
        <w:rPr>
          <w:rFonts w:hint="default" w:ascii="Times New Roman" w:hAnsi="Times New Roman" w:eastAsia="仿宋_GB2312" w:cs="Times New Roman"/>
          <w:b w:val="0"/>
          <w:bCs w:val="0"/>
          <w:spacing w:val="0"/>
          <w:sz w:val="30"/>
          <w:szCs w:val="30"/>
          <w:lang w:eastAsia="zh-CN"/>
        </w:rPr>
        <w:t>，分析</w:t>
      </w:r>
      <w:r>
        <w:rPr>
          <w:rFonts w:hint="default" w:ascii="Times New Roman" w:hAnsi="Times New Roman" w:eastAsia="仿宋_GB2312" w:cs="Times New Roman"/>
          <w:b w:val="0"/>
          <w:bCs w:val="0"/>
          <w:spacing w:val="0"/>
          <w:sz w:val="30"/>
          <w:szCs w:val="30"/>
        </w:rPr>
        <w:t>涉台产业园区发展现状和问题</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研究涉台产业园区联动发展</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承接东部沿海地区产业转移的路径</w:t>
      </w:r>
      <w:r>
        <w:rPr>
          <w:rFonts w:hint="default" w:ascii="Times New Roman" w:hAnsi="Times New Roman" w:eastAsia="仿宋_GB2312" w:cs="Times New Roman"/>
          <w:b w:val="0"/>
          <w:bCs w:val="0"/>
          <w:spacing w:val="0"/>
          <w:sz w:val="30"/>
          <w:szCs w:val="30"/>
          <w:lang w:eastAsia="zh-CN"/>
        </w:rPr>
        <w:t>和</w:t>
      </w:r>
      <w:r>
        <w:rPr>
          <w:rFonts w:hint="default" w:ascii="Times New Roman" w:hAnsi="Times New Roman" w:eastAsia="仿宋_GB2312" w:cs="Times New Roman"/>
          <w:b w:val="0"/>
          <w:bCs w:val="0"/>
          <w:spacing w:val="0"/>
          <w:sz w:val="30"/>
          <w:szCs w:val="30"/>
        </w:rPr>
        <w:t>举措</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探索提升园区产业聚集效应</w:t>
      </w:r>
      <w:r>
        <w:rPr>
          <w:rFonts w:hint="default" w:ascii="Times New Roman" w:hAnsi="Times New Roman" w:eastAsia="仿宋_GB2312" w:cs="Times New Roman"/>
          <w:b w:val="0"/>
          <w:bCs w:val="0"/>
          <w:spacing w:val="0"/>
          <w:sz w:val="30"/>
          <w:szCs w:val="30"/>
          <w:lang w:eastAsia="zh-CN"/>
        </w:rPr>
        <w:t>，提出</w:t>
      </w:r>
      <w:r>
        <w:rPr>
          <w:rFonts w:hint="default" w:ascii="Times New Roman" w:hAnsi="Times New Roman" w:eastAsia="仿宋_GB2312" w:cs="Times New Roman"/>
          <w:b w:val="0"/>
          <w:bCs w:val="0"/>
          <w:spacing w:val="0"/>
          <w:sz w:val="30"/>
          <w:szCs w:val="30"/>
        </w:rPr>
        <w:t>涉台产业园区高质量发展的</w:t>
      </w:r>
      <w:r>
        <w:rPr>
          <w:rFonts w:hint="default" w:ascii="Times New Roman" w:hAnsi="Times New Roman" w:eastAsia="仿宋_GB2312" w:cs="Times New Roman"/>
          <w:b w:val="0"/>
          <w:bCs w:val="0"/>
          <w:spacing w:val="0"/>
          <w:sz w:val="30"/>
          <w:szCs w:val="30"/>
          <w:lang w:eastAsia="zh-CN"/>
        </w:rPr>
        <w:t>政策保障</w:t>
      </w:r>
      <w:r>
        <w:rPr>
          <w:rFonts w:hint="default" w:ascii="Times New Roman" w:hAnsi="Times New Roman" w:eastAsia="仿宋_GB2312" w:cs="Times New Roman"/>
          <w:b w:val="0"/>
          <w:bCs w:val="0"/>
          <w:spacing w:val="0"/>
          <w:sz w:val="30"/>
          <w:szCs w:val="30"/>
        </w:rPr>
        <w:t>和运行机制</w:t>
      </w:r>
      <w:r>
        <w:rPr>
          <w:rFonts w:hint="default" w:ascii="Times New Roman" w:hAnsi="Times New Roman" w:eastAsia="仿宋_GB2312" w:cs="Times New Roman"/>
          <w:b w:val="0"/>
          <w:bCs w:val="0"/>
          <w:spacing w:val="0"/>
          <w:sz w:val="30"/>
          <w:szCs w:val="30"/>
          <w:lang w:eastAsia="zh-CN"/>
        </w:rPr>
        <w:t>建议</w:t>
      </w:r>
      <w:r>
        <w:rPr>
          <w:rFonts w:hint="default" w:ascii="Times New Roman" w:hAnsi="Times New Roman" w:eastAsia="仿宋_GB2312" w:cs="Times New Roman"/>
          <w:b w:val="0"/>
          <w:bCs w:val="0"/>
          <w:spacing w:val="0"/>
          <w:sz w:val="30"/>
          <w:szCs w:val="30"/>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省委台办</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lang w:val="en-US" w:eastAsia="zh-CN"/>
        </w:rPr>
        <w:t>（25）</w:t>
      </w:r>
      <w:r>
        <w:rPr>
          <w:rFonts w:hint="default" w:ascii="Times New Roman" w:hAnsi="Times New Roman" w:eastAsia="仿宋_GB2312" w:cs="Times New Roman"/>
          <w:b w:val="0"/>
          <w:bCs w:val="0"/>
          <w:spacing w:val="0"/>
          <w:sz w:val="30"/>
          <w:szCs w:val="30"/>
          <w:lang w:eastAsia="zh-CN"/>
        </w:rPr>
        <w:t>产业园区双碳目标建设策略及技术路径研究。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lang w:eastAsia="zh-CN"/>
        </w:rPr>
        <w:t>围绕</w:t>
      </w:r>
      <w:r>
        <w:rPr>
          <w:rFonts w:hint="default" w:ascii="Times New Roman" w:hAnsi="Times New Roman" w:eastAsia="仿宋_GB2312" w:cs="Times New Roman"/>
          <w:b w:val="0"/>
          <w:bCs w:val="0"/>
          <w:spacing w:val="0"/>
          <w:sz w:val="30"/>
          <w:szCs w:val="30"/>
        </w:rPr>
        <w:t>促进省内产业园区双碳目标建设，实现产业园区绿色、低碳和生态运行，研究有效可行的产业园区碳达峰和零碳预测模型，</w:t>
      </w:r>
      <w:r>
        <w:rPr>
          <w:rFonts w:hint="default" w:ascii="Times New Roman" w:hAnsi="Times New Roman" w:eastAsia="仿宋_GB2312" w:cs="Times New Roman"/>
          <w:b w:val="0"/>
          <w:bCs w:val="0"/>
          <w:spacing w:val="0"/>
          <w:sz w:val="30"/>
          <w:szCs w:val="30"/>
          <w:lang w:eastAsia="zh-CN"/>
        </w:rPr>
        <w:t>探索</w:t>
      </w:r>
      <w:r>
        <w:rPr>
          <w:rFonts w:hint="default" w:ascii="Times New Roman" w:hAnsi="Times New Roman" w:eastAsia="仿宋_GB2312" w:cs="Times New Roman"/>
          <w:b w:val="0"/>
          <w:bCs w:val="0"/>
          <w:spacing w:val="0"/>
          <w:sz w:val="30"/>
          <w:szCs w:val="30"/>
        </w:rPr>
        <w:t>碳排放的综合评价方法以及园区零碳建设的技术路径，为园区双碳目标建设提供支撑和路线建议。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考核指标：政策建议3条，研究报告1篇，论文2篇，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经济和信息化厅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（26）</w:t>
      </w:r>
      <w:r>
        <w:rPr>
          <w:rFonts w:hint="default" w:ascii="Times New Roman" w:hAnsi="Times New Roman" w:eastAsia="仿宋_GB2312" w:cs="Times New Roman"/>
          <w:b w:val="0"/>
          <w:bCs w:val="0"/>
          <w:spacing w:val="0"/>
          <w:sz w:val="30"/>
          <w:szCs w:val="30"/>
          <w:vertAlign w:val="baseline"/>
          <w:lang w:eastAsia="zh-CN"/>
        </w:rPr>
        <w:t>攀西钒钛战略资源综合开发利用水平进步指数研究。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提升攀西钒钛战略资源创新开发试验区钒钛资源综合利用水平，重点开展综合利用水平进步指数研究，确立钒钛资源综合利用水平进步评价的投入、产出指标，构建评价模型，形成推动钒钛资源开发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1项，</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攀枝花市科技局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（27）关于持续推进自贡高新区建设科创园融入西部科学城相关问题的研究。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：研究我省和自贡市高新区发展的现状与问题，探索自贡高新区科创园创新主体建设方向，形成推进自贡高新区建设科创园融入西部科学城的政策建议和研究报告。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w:t>
      </w:r>
      <w:r>
        <w:rPr>
          <w:rFonts w:hint="default" w:ascii="Times New Roman" w:hAnsi="Times New Roman" w:eastAsia="仿宋_GB2312" w:cs="Times New Roman"/>
          <w:b w:val="0"/>
          <w:bCs w:val="0"/>
          <w:spacing w:val="0"/>
          <w:sz w:val="30"/>
          <w:szCs w:val="30"/>
          <w:lang w:eastAsia="zh-CN"/>
        </w:rPr>
        <w:t>政策建议2条，研究报告1篇，论文1篇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有关说明：该课题由自贡市科技局组织并出具推荐函，商相关归口单位推荐上报，限推荐1项，申报经费不超过10万元。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lang w:val="en-US" w:eastAsia="zh-CN"/>
        </w:rPr>
        <w:t>28</w:t>
      </w:r>
      <w:r>
        <w:rPr>
          <w:rFonts w:hint="default" w:ascii="Times New Roman" w:hAnsi="Times New Roman" w:eastAsia="仿宋_GB2312" w:cs="Times New Roman"/>
          <w:b w:val="0"/>
          <w:bCs w:val="0"/>
          <w:spacing w:val="0"/>
          <w:sz w:val="30"/>
          <w:szCs w:val="30"/>
          <w:lang w:eastAsia="zh-CN"/>
        </w:rPr>
        <w:t>）新形势下四川省高新区双提双升研究。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分析四川省高新区发展现状与问题，探索四川省高新区综合评价体系，形成推动国家和升级高新区双提双升的政策建议和研究报告，为把四川省高新区打造成为创新驱动示范区和高质量发展先行区提供决策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lang w:val="en-US" w:eastAsia="zh-CN"/>
        </w:rPr>
        <w:t xml:space="preserve">1.9 </w:t>
      </w:r>
      <w:r>
        <w:rPr>
          <w:rFonts w:hint="default" w:ascii="Times New Roman" w:hAnsi="Times New Roman" w:eastAsia="仿宋_GB2312" w:cs="Times New Roman"/>
          <w:b w:val="0"/>
          <w:bCs w:val="0"/>
          <w:spacing w:val="0"/>
          <w:sz w:val="30"/>
          <w:szCs w:val="30"/>
          <w:vertAlign w:val="baseline"/>
          <w:lang w:val="en-US" w:eastAsia="zh-CN"/>
        </w:rPr>
        <w:t>自由贸易试验区与国际科技合作研究</w:t>
      </w:r>
      <w:r>
        <w:rPr>
          <w:rFonts w:hint="default" w:ascii="Times New Roman" w:hAnsi="Times New Roman" w:eastAsia="仿宋_GB2312" w:cs="Times New Roman"/>
          <w:b w:val="0"/>
          <w:bCs w:val="0"/>
          <w:spacing w:val="0"/>
          <w:sz w:val="30"/>
          <w:szCs w:val="30"/>
          <w:vertAlign w:val="baseline"/>
          <w:lang w:eastAsia="zh-CN"/>
        </w:rPr>
        <w:t>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（29）</w:t>
      </w:r>
      <w:r>
        <w:rPr>
          <w:rFonts w:hint="default" w:ascii="Times New Roman" w:hAnsi="Times New Roman" w:eastAsia="仿宋_GB2312" w:cs="Times New Roman"/>
          <w:b w:val="0"/>
          <w:bCs w:val="0"/>
          <w:spacing w:val="0"/>
          <w:sz w:val="30"/>
          <w:szCs w:val="30"/>
          <w:vertAlign w:val="baseline"/>
          <w:lang w:eastAsia="zh-CN"/>
        </w:rPr>
        <w:t>四川自贸试验区对接高标准推进制度型开放研究。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紧扣四川自贸试验区总体方案战略定位，对标CPTPP、RCEP、DEPA等高标准国际经贸规则，对标上海等高水平自贸试验区经验，重点研究在规则、规制、管理、标准等领域深化改革、扩大开放，建立与国际先进规则接轨的制度型开放体系，形成推动自贸试验区制度型开放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3</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商务厅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（30）</w:t>
      </w:r>
      <w:r>
        <w:rPr>
          <w:rFonts w:hint="default" w:ascii="Times New Roman" w:hAnsi="Times New Roman" w:eastAsia="仿宋_GB2312" w:cs="Times New Roman"/>
          <w:b w:val="0"/>
          <w:bCs w:val="0"/>
          <w:spacing w:val="0"/>
          <w:sz w:val="30"/>
          <w:szCs w:val="30"/>
          <w:vertAlign w:val="baseline"/>
          <w:lang w:eastAsia="zh-CN"/>
        </w:rPr>
        <w:t>川渝自由贸易试验区国际科技创新合作现状、问题及对策研究。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分析川渝自由贸易试验区国际科技创新合作现状与问题，研究自由贸易试验区改革的平台功能与区域开放创新互动的理论机制、科技创新国际合作模式，形成推动川渝自贸试验区国际科技创新合作的调研报告和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eastAsia="zh-CN"/>
        </w:rPr>
        <w:t>（</w:t>
      </w:r>
      <w:r>
        <w:rPr>
          <w:rFonts w:hint="default" w:ascii="Times New Roman" w:hAnsi="Times New Roman" w:eastAsia="仿宋_GB2312" w:cs="Times New Roman"/>
          <w:b w:val="0"/>
          <w:bCs w:val="0"/>
          <w:spacing w:val="0"/>
          <w:sz w:val="30"/>
          <w:szCs w:val="30"/>
          <w:vertAlign w:val="baseline"/>
          <w:lang w:val="en-US" w:eastAsia="zh-CN"/>
        </w:rPr>
        <w:t>31</w:t>
      </w:r>
      <w:r>
        <w:rPr>
          <w:rFonts w:hint="default" w:ascii="Times New Roman" w:hAnsi="Times New Roman" w:eastAsia="仿宋_GB2312" w:cs="Times New Roman"/>
          <w:b w:val="0"/>
          <w:bCs w:val="0"/>
          <w:spacing w:val="0"/>
          <w:sz w:val="30"/>
          <w:szCs w:val="30"/>
          <w:vertAlign w:val="baseline"/>
          <w:lang w:eastAsia="zh-CN"/>
        </w:rPr>
        <w:t>）在RCEP框架下四川与东盟科技创新合作拓展的机遇与对策研究。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分析RCEP正式签署为促进区域协同发展带来的机遇，以及四川省与东盟科技创新合作的现状与机会，探索提出四川省与东盟在新时期开展科技创新合作的主要模式、路径与政策制度建议，提出在RCEP框架下四川省与东盟成员国开展科技创新合作的主要模式、路径与政策制度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3</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1.10 科研项目和经费管理改革研究</w:t>
      </w:r>
      <w:r>
        <w:rPr>
          <w:rFonts w:hint="default" w:ascii="Times New Roman" w:hAnsi="Times New Roman" w:eastAsia="仿宋_GB2312" w:cs="Times New Roman"/>
          <w:b w:val="0"/>
          <w:bCs w:val="0"/>
          <w:spacing w:val="0"/>
          <w:sz w:val="30"/>
          <w:szCs w:val="30"/>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（32）</w:t>
      </w:r>
      <w:r>
        <w:rPr>
          <w:rFonts w:hint="default" w:ascii="Times New Roman" w:hAnsi="Times New Roman" w:eastAsia="仿宋_GB2312" w:cs="Times New Roman"/>
          <w:b w:val="0"/>
          <w:bCs w:val="0"/>
          <w:spacing w:val="0"/>
          <w:sz w:val="30"/>
          <w:szCs w:val="30"/>
          <w:vertAlign w:val="baseline"/>
          <w:lang w:eastAsia="zh-CN"/>
        </w:rPr>
        <w:t>四川省科技计划绩效指标和标准体系研究。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四川省科技计划项目无行业指标指引、绩效导向效果不佳等问题，研究科技计划项目绩效目标管理现状，分类构建四川省科技计划绩效指标和标准体系，形成行业指标指引和规范说明，为科研单位开展预算绩效管理、科技主管部门及财政部门进行绩效监督和评价管理提供工作支撑。</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（33）</w:t>
      </w:r>
      <w:r>
        <w:rPr>
          <w:rFonts w:hint="default" w:ascii="Times New Roman" w:hAnsi="Times New Roman" w:eastAsia="仿宋_GB2312" w:cs="Times New Roman"/>
          <w:b w:val="0"/>
          <w:bCs w:val="0"/>
          <w:spacing w:val="0"/>
          <w:sz w:val="30"/>
          <w:szCs w:val="30"/>
          <w:vertAlign w:val="baseline"/>
          <w:lang w:eastAsia="zh-CN"/>
        </w:rPr>
        <w:t>关于加强重大科技专项管理提高实施绩效研究。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总结四川省在重大科技专项布局及推进、项目管理、经费管理模式等方面的实践经验，建立重大科技专项绩效评价框架体系和指标体系，形成加强重大科技专项管理提高实施绩效的政策建议和研究报告，为探索关键核心技术攻关新型举国体制的四川路径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lang w:val="en-US" w:eastAsia="zh-CN"/>
        </w:rPr>
        <w:t>（34）</w:t>
      </w:r>
      <w:r>
        <w:rPr>
          <w:rFonts w:hint="default" w:ascii="Times New Roman" w:hAnsi="Times New Roman" w:eastAsia="仿宋_GB2312" w:cs="Times New Roman"/>
          <w:b w:val="0"/>
          <w:bCs w:val="0"/>
          <w:spacing w:val="0"/>
          <w:sz w:val="30"/>
          <w:szCs w:val="30"/>
          <w:vertAlign w:val="baseline"/>
          <w:lang w:eastAsia="zh-CN"/>
        </w:rPr>
        <w:t>关于深化四川省基础研究体制机制改革的对策研究。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梳理国内外先进地区在自然基金、项目管理、评价机制等方面的经验做法，剖析全省现行基础研究运营、管理、评价等方面存在问题，提出加强全省基础研究能力的创新思路和对策建议，形成四川省深化基础研究体制机制改革的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（35）</w:t>
      </w:r>
      <w:r>
        <w:rPr>
          <w:rFonts w:hint="default" w:ascii="Times New Roman" w:hAnsi="Times New Roman" w:eastAsia="仿宋_GB2312" w:cs="Times New Roman"/>
          <w:b w:val="0"/>
          <w:bCs w:val="0"/>
          <w:spacing w:val="0"/>
          <w:sz w:val="30"/>
          <w:szCs w:val="30"/>
          <w:vertAlign w:val="baseline"/>
          <w:lang w:eastAsia="zh-CN"/>
        </w:rPr>
        <w:t>四川省科技计划专项资金财务审计服务模式及政策引导研究。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省级科技计划项目综合绩效评价审计服务工作中存在的现实问题，研究参与省级科技计划项目经费审计服务会计师事务所工作开展现状及问题，梳理新形势下科研项目经费审计服务的建设模式，从制度建设角度提出省级科研项目经费审计服务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1.11 科技创新政策与高校院所改革研究</w:t>
      </w:r>
      <w:r>
        <w:rPr>
          <w:rFonts w:hint="default" w:ascii="Times New Roman" w:hAnsi="Times New Roman" w:eastAsia="仿宋_GB2312" w:cs="Times New Roman"/>
          <w:b w:val="0"/>
          <w:bCs w:val="0"/>
          <w:spacing w:val="0"/>
          <w:kern w:val="2"/>
          <w:sz w:val="30"/>
          <w:szCs w:val="30"/>
          <w:vertAlign w:val="baseline"/>
          <w:lang w:val="en-US" w:eastAsia="zh-CN" w:bidi="ar-SA"/>
        </w:rPr>
        <w:t>课题</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（36）</w:t>
      </w:r>
      <w:r>
        <w:rPr>
          <w:rFonts w:hint="default" w:ascii="Times New Roman" w:hAnsi="Times New Roman" w:eastAsia="仿宋_GB2312" w:cs="Times New Roman"/>
          <w:b w:val="0"/>
          <w:bCs w:val="0"/>
          <w:spacing w:val="0"/>
          <w:sz w:val="30"/>
          <w:szCs w:val="30"/>
          <w:vertAlign w:val="baseline"/>
          <w:lang w:eastAsia="zh-CN"/>
        </w:rPr>
        <w:t>高能级创新联合体建设背景下高校科研管理组织模式改革研究。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高能级创新联合体建设背景，分析现有高校科研管理组织模式现状与存在问题，研究高校科研管理组织模式的改革策略，形成高能级创新联合体建设背景下高校科研管理组织模式激励相容与制度设计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有关说明：该课题由教育厅组织并出具推荐函，商相关归口单位推荐上报，限推荐1项，申报经费不超过10万元。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（37）</w:t>
      </w:r>
      <w:r>
        <w:rPr>
          <w:rFonts w:hint="default" w:ascii="Times New Roman" w:hAnsi="Times New Roman" w:eastAsia="仿宋_GB2312" w:cs="Times New Roman"/>
          <w:b w:val="0"/>
          <w:bCs w:val="0"/>
          <w:spacing w:val="0"/>
          <w:sz w:val="30"/>
          <w:szCs w:val="30"/>
          <w:vertAlign w:val="baseline"/>
          <w:lang w:eastAsia="zh-CN"/>
        </w:rPr>
        <w:t>基于市场主体登记数据的科技创新指标研究。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基于科技企业在区域、数量、注册资本、人员规模、开业状况等的分布变化特征，形成基于市场主体登记数据的可供周期性监测的科技创新评价指标体系，探索建立利用市场主体数据进行深度分析的技术和管理模式。</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考核指标：政策建议3条，研究报告1篇，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省市场监管局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vertAlign w:val="baseline"/>
          <w:lang w:val="en-US" w:eastAsia="zh-CN"/>
        </w:rPr>
        <w:t>（38）适应新科技革命趋势和规律的科技创新政策与四川科技创新治理机制研究。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w:t>
      </w:r>
      <w:r>
        <w:rPr>
          <w:rFonts w:hint="default" w:ascii="Times New Roman" w:hAnsi="Times New Roman" w:eastAsia="仿宋_GB2312" w:cs="Times New Roman"/>
          <w:b w:val="0"/>
          <w:bCs w:val="0"/>
          <w:spacing w:val="0"/>
          <w:sz w:val="30"/>
          <w:szCs w:val="30"/>
          <w:vertAlign w:val="baseline"/>
          <w:lang w:val="en-US" w:eastAsia="zh-CN"/>
        </w:rPr>
        <w:t>聚焦科技革命对科技治理体系与治理能力的新挑战和新需求，研究科学范式变革与科研组织模式、新型创新主体发展与治理、新型资助模式、关键核心技术政策等科技政策变革发展问题，提出与科技革命新趋势和新规律相适应的、促进四川科技发展的关键治理工具与制度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rPr>
        <w:t>考核指标：</w:t>
      </w:r>
      <w:r>
        <w:rPr>
          <w:rFonts w:hint="default" w:ascii="Times New Roman" w:hAnsi="Times New Roman" w:eastAsia="仿宋_GB2312" w:cs="Times New Roman"/>
          <w:b w:val="0"/>
          <w:bCs w:val="0"/>
          <w:spacing w:val="0"/>
          <w:sz w:val="30"/>
          <w:szCs w:val="30"/>
          <w:vertAlign w:val="baseline"/>
          <w:lang w:val="en-US" w:eastAsia="zh-CN"/>
        </w:rPr>
        <w:t>政策建议4条，研究报告2篇，论文4篇，专著1部</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有关说明：该课题由中科院成都分院组织并出具推荐函，商相关归口单位推荐上报，限推荐1项，申报经费不超过10万元。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（39）</w:t>
      </w:r>
      <w:r>
        <w:rPr>
          <w:rFonts w:hint="default" w:ascii="Times New Roman" w:hAnsi="Times New Roman" w:eastAsia="仿宋_GB2312" w:cs="Times New Roman"/>
          <w:b w:val="0"/>
          <w:bCs w:val="0"/>
          <w:spacing w:val="0"/>
          <w:sz w:val="30"/>
          <w:szCs w:val="30"/>
          <w:vertAlign w:val="baseline"/>
          <w:lang w:eastAsia="zh-CN"/>
        </w:rPr>
        <w:t>科技创新政策落实情况调查研究。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：围绕市（州）、省直有关部门、高校、院所及创新型企业开展调查，掌握各类科技创新政策落实基本情况，分析存在问题及影响因素，提出推动科技创新政策落实的对策建议。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5</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其他4项</w:t>
      </w:r>
      <w:r>
        <w:rPr>
          <w:rFonts w:hint="default" w:ascii="Times New Roman" w:hAnsi="Times New Roman" w:eastAsia="仿宋_GB2312" w:cs="Times New Roman"/>
          <w:b w:val="0"/>
          <w:bCs w:val="0"/>
          <w:color w:val="000000"/>
          <w:spacing w:val="0"/>
          <w:sz w:val="30"/>
          <w:szCs w:val="30"/>
          <w:lang w:eastAsia="zh-CN"/>
        </w:rPr>
        <w:t>（形成科技创新政策落实情况调研总报告</w:t>
      </w:r>
      <w:r>
        <w:rPr>
          <w:rFonts w:hint="default" w:ascii="Times New Roman" w:hAnsi="Times New Roman" w:eastAsia="仿宋_GB2312" w:cs="Times New Roman"/>
          <w:b w:val="0"/>
          <w:bCs w:val="0"/>
          <w:color w:val="000000"/>
          <w:spacing w:val="0"/>
          <w:sz w:val="30"/>
          <w:szCs w:val="30"/>
          <w:lang w:val="en-US" w:eastAsia="zh-CN"/>
        </w:rPr>
        <w:t>和市（州）、部门、高校院所和企业3个分报告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有关说明：该课题由科技厅组织，商相关归口单位推荐上报，限推荐1项，申报经费不超过30万元。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（40）四川省科研机构组织管理服务地方立法调研</w:t>
      </w:r>
      <w:r>
        <w:rPr>
          <w:rFonts w:hint="default" w:ascii="Times New Roman" w:hAnsi="Times New Roman" w:eastAsia="仿宋_GB2312" w:cs="Times New Roman"/>
          <w:b w:val="0"/>
          <w:bCs w:val="0"/>
          <w:spacing w:val="0"/>
          <w:sz w:val="30"/>
          <w:szCs w:val="30"/>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针对科研机构治理困境和立法经验开展调研，梳理四川省科研机构现状、成效和经验，研究形成四川省科研机构立法的框架内容，推动科研机构定位使命、外部治理、内部治理方面形成刚性制度，为科研机构组织管理服务提供法制保障。</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4</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vertAlign w:val="baseline"/>
          <w:lang w:val="en-US" w:eastAsia="zh-CN"/>
        </w:rPr>
        <w:t>（41）大型国有企业科技创新激励机制研究。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rPr>
        <w:t>研究内容</w:t>
      </w:r>
      <w:r>
        <w:rPr>
          <w:rFonts w:hint="default" w:ascii="Times New Roman" w:hAnsi="Times New Roman" w:eastAsia="仿宋_GB2312" w:cs="Times New Roman"/>
          <w:b w:val="0"/>
          <w:bCs w:val="0"/>
          <w:color w:val="auto"/>
          <w:spacing w:val="0"/>
          <w:sz w:val="30"/>
          <w:szCs w:val="30"/>
          <w:vertAlign w:val="baseline"/>
          <w:lang w:eastAsia="zh-CN"/>
        </w:rPr>
        <w:t>：围绕我省大型国企创新能力不足、员工创新积极性不高的现实问题，以省内大型国企为例，研究提出新时期国有企业科技创新激励的优化思路与重点举措，形成激发国有科技型企业创新活力、增强创新动力的政策建议和研究报告</w:t>
      </w:r>
      <w:r>
        <w:rPr>
          <w:rFonts w:hint="default" w:ascii="Times New Roman" w:hAnsi="Times New Roman" w:eastAsia="仿宋_GB2312" w:cs="Times New Roman"/>
          <w:b w:val="0"/>
          <w:bCs w:val="0"/>
          <w:color w:val="auto"/>
          <w:spacing w:val="0"/>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rPr>
        <w:t>考核指标：</w:t>
      </w:r>
      <w:r>
        <w:rPr>
          <w:rFonts w:hint="default" w:ascii="Times New Roman" w:hAnsi="Times New Roman" w:eastAsia="仿宋_GB2312" w:cs="Times New Roman"/>
          <w:b w:val="0"/>
          <w:bCs w:val="0"/>
          <w:color w:val="auto"/>
          <w:spacing w:val="0"/>
          <w:sz w:val="30"/>
          <w:szCs w:val="30"/>
          <w:vertAlign w:val="baseline"/>
          <w:lang w:val="en-US" w:eastAsia="zh-CN"/>
        </w:rPr>
        <w:t>政策建议2条，研究报告1篇，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auto"/>
          <w:spacing w:val="0"/>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11"/>
          <w:sz w:val="30"/>
          <w:szCs w:val="30"/>
          <w:lang w:eastAsia="zh-CN"/>
        </w:rPr>
      </w:pPr>
      <w:r>
        <w:rPr>
          <w:rFonts w:hint="default" w:ascii="Times New Roman" w:hAnsi="Times New Roman" w:eastAsia="仿宋_GB2312" w:cs="Times New Roman"/>
          <w:b w:val="0"/>
          <w:bCs w:val="0"/>
          <w:spacing w:val="0"/>
          <w:sz w:val="30"/>
          <w:szCs w:val="30"/>
          <w:lang w:val="en-US" w:eastAsia="zh-CN"/>
        </w:rPr>
        <w:t>（42）</w:t>
      </w:r>
      <w:r>
        <w:rPr>
          <w:rFonts w:hint="default" w:ascii="Times New Roman" w:hAnsi="Times New Roman" w:eastAsia="仿宋_GB2312" w:cs="Times New Roman"/>
          <w:b w:val="0"/>
          <w:bCs w:val="0"/>
          <w:spacing w:val="-11"/>
          <w:sz w:val="30"/>
          <w:szCs w:val="30"/>
          <w:lang w:eastAsia="zh-CN"/>
        </w:rPr>
        <w:t>转制科研院所整合组建新型产业技术研发集团模式研究。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研究内容：分析四川转制科研院所发展现状与问题，借鉴各省市科研院所深化改革路径，探索科研院所整合组建新型产业技术研发集团模式，研究科研院所集团化整合发展扶持政策，形成推动四川科研院所整合重组集团化发展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考核指标：政策建议2条，研究报告1篇，论文1篇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vertAlign w:val="baseline"/>
          <w:lang w:val="en-US" w:eastAsia="zh-CN"/>
        </w:rPr>
        <w:t>（43）“两稳一保”形势下双创带动就业模式研究。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vertAlign w:val="baseline"/>
          <w:lang w:val="en-US" w:eastAsia="zh-CN"/>
        </w:rPr>
        <w:t>研究内容：研究“两稳一保”形势下四川省双创带动就业现状与问题，探索四川省高校毕业生、农民工等重点群体创业就业模式，提出社会服务领域双创带动就业、高校毕业生创业就业、大中小企业融通创新就业等方面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vertAlign w:val="baseline"/>
          <w:lang w:val="en-US" w:eastAsia="zh-CN"/>
        </w:rPr>
        <w:t>考核指标：政策建议4条，研究报告1篇，论文1篇，其他1项（向科技厅报送1篇调研报告）。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vertAlign w:val="baseline"/>
          <w:lang w:val="en-US" w:eastAsia="zh-CN"/>
        </w:rPr>
        <w:t>有关说明：该课题由科技厅组织，商相关归口单位推荐上报，限推荐1项，申报经费不超过10万元。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（44）四川省高新技术企业高质量发展评价体系研究。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：围绕四川省高新技术企业发展现实问题，开展高新技术企业情况调查研究，建立高新技术企业高质量发展评价指标体系，形成四川高新技术企业发展报告及进一步推动高新技术企业高质量发展的若干政策建议。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考核指标：政策建议4条，研究报告3篇，论文1篇，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1.12 科技监督评价和科研诚信体系建设研究。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（45）合作治理视角下构建科研诚信治理体系路径研究。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研究内容：以泸州市为样本，通过问卷调查、比较分析等研究方法对科研不诚信原因及科研不诚信治理展开实证研究，分析科研诚信问题治理的影响因素，提出科研诚信问题的合作治理体系的政策建议。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有关说明：该课题由泸州市科技和人才局组织并出具推荐函，商相关归口单位推荐上报，限推荐1项，申报经费不超过10万元。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（46）四川省新形势下加强科研伦理体系建设研究。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围绕解决四川省产学研融合创新发展引发的高校及科研院所科技伦理相关问题，深度研究科技伦理主体责任体系、科技伦理培训及教育、科技伦理诚信、科技伦理失信惩处等问题，提出构建科技伦理制度、教育、诚信体系框架的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（47）四川省新形势下推进科研诚信体系建设研究。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研究内容：围绕四川省科研诚信体系建设规划的制定，开展科研诚信现状访谈调研，提出科研诚信体系建设的路径，形成推动四川省科研诚信体系建设的政策建议和研究报告。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 xml:space="preserve">1.13 </w:t>
      </w:r>
      <w:r>
        <w:rPr>
          <w:rFonts w:hint="default" w:ascii="Times New Roman" w:hAnsi="Times New Roman" w:eastAsia="仿宋_GB2312" w:cs="Times New Roman"/>
          <w:b w:val="0"/>
          <w:bCs w:val="0"/>
          <w:spacing w:val="0"/>
          <w:sz w:val="30"/>
          <w:szCs w:val="30"/>
          <w:lang w:eastAsia="zh-CN"/>
        </w:rPr>
        <w:t>成果转化体制改革研究</w:t>
      </w:r>
      <w:r>
        <w:rPr>
          <w:rFonts w:hint="default" w:ascii="Times New Roman" w:hAnsi="Times New Roman" w:eastAsia="仿宋_GB2312" w:cs="Times New Roman"/>
          <w:b w:val="0"/>
          <w:bCs w:val="0"/>
          <w:spacing w:val="0"/>
          <w:sz w:val="30"/>
          <w:szCs w:val="30"/>
          <w:vertAlign w:val="baseline"/>
          <w:lang w:eastAsia="zh-CN"/>
        </w:rPr>
        <w:t>课题</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（48）</w:t>
      </w:r>
      <w:r>
        <w:rPr>
          <w:rFonts w:hint="default" w:ascii="Times New Roman" w:hAnsi="Times New Roman" w:eastAsia="仿宋_GB2312" w:cs="Times New Roman"/>
          <w:b w:val="0"/>
          <w:bCs w:val="0"/>
          <w:spacing w:val="0"/>
          <w:sz w:val="30"/>
          <w:szCs w:val="30"/>
          <w:vertAlign w:val="baseline"/>
          <w:lang w:eastAsia="zh-CN"/>
        </w:rPr>
        <w:t>高价值发明专利培育政策与策略研究。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：分析四川省高价值专利育成中心建设现状及存在问题，研究适合四川省产业现状的高价值发明专利培育模式，形成四川省高价值专利育成中心建设的政策建议和研究报告，建立高价值发明专利培育模型。</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省知识产权中心</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vertAlign w:val="baseline"/>
          <w:lang w:eastAsia="zh-CN"/>
        </w:rPr>
      </w:pPr>
      <w:r>
        <w:rPr>
          <w:rFonts w:hint="default" w:ascii="Times New Roman" w:hAnsi="Times New Roman" w:eastAsia="仿宋_GB2312" w:cs="Times New Roman"/>
          <w:b w:val="0"/>
          <w:bCs w:val="0"/>
          <w:color w:val="000000"/>
          <w:spacing w:val="0"/>
          <w:sz w:val="30"/>
          <w:szCs w:val="30"/>
          <w:vertAlign w:val="baseline"/>
          <w:lang w:val="en-US" w:eastAsia="zh-CN"/>
        </w:rPr>
        <w:t>（49）</w:t>
      </w:r>
      <w:r>
        <w:rPr>
          <w:rFonts w:hint="default" w:ascii="Times New Roman" w:hAnsi="Times New Roman" w:eastAsia="仿宋_GB2312" w:cs="Times New Roman"/>
          <w:b w:val="0"/>
          <w:bCs w:val="0"/>
          <w:color w:val="000000"/>
          <w:spacing w:val="0"/>
          <w:sz w:val="30"/>
          <w:szCs w:val="30"/>
          <w:vertAlign w:val="baseline"/>
          <w:lang w:eastAsia="zh-CN"/>
        </w:rPr>
        <w:t>关于深化和健全科技成果转移转化的体制机制建设与研究。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vertAlign w:val="baseline"/>
          <w:lang w:eastAsia="zh-CN"/>
        </w:rPr>
      </w:pPr>
      <w:r>
        <w:rPr>
          <w:rFonts w:hint="default" w:ascii="Times New Roman" w:hAnsi="Times New Roman" w:eastAsia="仿宋_GB2312" w:cs="Times New Roman"/>
          <w:b w:val="0"/>
          <w:bCs w:val="0"/>
          <w:color w:val="000000"/>
          <w:spacing w:val="0"/>
          <w:sz w:val="30"/>
          <w:szCs w:val="30"/>
        </w:rPr>
        <w:t>研究内容</w:t>
      </w:r>
      <w:r>
        <w:rPr>
          <w:rFonts w:hint="default" w:ascii="Times New Roman" w:hAnsi="Times New Roman" w:eastAsia="仿宋_GB2312" w:cs="Times New Roman"/>
          <w:b w:val="0"/>
          <w:bCs w:val="0"/>
          <w:color w:val="000000"/>
          <w:spacing w:val="0"/>
          <w:sz w:val="30"/>
          <w:szCs w:val="30"/>
          <w:vertAlign w:val="baseline"/>
          <w:lang w:eastAsia="zh-CN"/>
        </w:rPr>
        <w:t>：围绕科技成果转移转化的效率不高、缺乏科技转化平台、企业承接科技成果转化能力不强等现实问题，以宜宾市为例，重点研究制度性解决方案，形成促进科技成果转移转化的政策建议和工作方案。</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color w:val="000000"/>
          <w:spacing w:val="0"/>
          <w:sz w:val="30"/>
          <w:szCs w:val="30"/>
          <w:vertAlign w:val="baseline"/>
          <w:lang w:eastAsia="zh-CN"/>
        </w:rPr>
        <w:t>宜宾市科技局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（50）</w:t>
      </w:r>
      <w:r>
        <w:rPr>
          <w:rFonts w:hint="default" w:ascii="Times New Roman" w:hAnsi="Times New Roman" w:eastAsia="仿宋_GB2312" w:cs="Times New Roman"/>
          <w:b w:val="0"/>
          <w:bCs w:val="0"/>
          <w:spacing w:val="0"/>
          <w:sz w:val="30"/>
          <w:szCs w:val="30"/>
          <w:vertAlign w:val="baseline"/>
          <w:lang w:eastAsia="zh-CN"/>
        </w:rPr>
        <w:t>地市级公立医院职务科技成果权属改革及转移转化体系建设研究。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破解现有体制机制问题，以德阳市为例，开展公立医院职务科技成果改革路径研究，形成推动地市级公立医院职务科技成果权属改革与转化的政策建议和研究报告，为探索地市级公立医院职务科技成果转移转化与应用模式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德阳市科技局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（51）</w:t>
      </w:r>
      <w:r>
        <w:rPr>
          <w:rFonts w:hint="default" w:ascii="Times New Roman" w:hAnsi="Times New Roman" w:eastAsia="仿宋_GB2312" w:cs="Times New Roman"/>
          <w:b w:val="0"/>
          <w:bCs w:val="0"/>
          <w:spacing w:val="0"/>
          <w:sz w:val="30"/>
          <w:szCs w:val="30"/>
          <w:vertAlign w:val="baseline"/>
          <w:lang w:eastAsia="zh-CN"/>
        </w:rPr>
        <w:t>建立中试熟化基地助推成渝地区科技成果转化研究——以资阳市为例。</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总结先进地区中试熟化基地建设的建设模式、体制机制和成功经验，研究适宜资阳市的中试熟化建设方案和政策制度，形成资阳市建设成渝地区中试熟化基地的研究报告，提出体制机制、建设模式、政策制度等方面的意见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资阳市科技局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（52）科技成果评价综合改革总体方案及构建“好品种”评价体系研究。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：落实国家科技成果评价综合改革要求，围绕探索科技成果评价改革“四川模式”，研究形成四川省科技成果评价综合改革总体方案，并提出以“主体参与、价值量化、评用结合”为重点的“好品种”评价体系。</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5</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color w:val="000000"/>
          <w:spacing w:val="0"/>
          <w:sz w:val="30"/>
          <w:szCs w:val="30"/>
          <w:lang w:val="en-US" w:eastAsia="zh-CN"/>
        </w:rPr>
        <w:t>其他3项</w:t>
      </w:r>
      <w:r>
        <w:rPr>
          <w:rFonts w:hint="default" w:ascii="Times New Roman" w:hAnsi="Times New Roman" w:eastAsia="仿宋_GB2312" w:cs="Times New Roman"/>
          <w:b w:val="0"/>
          <w:bCs w:val="0"/>
          <w:color w:val="000000"/>
          <w:spacing w:val="0"/>
          <w:sz w:val="30"/>
          <w:szCs w:val="30"/>
          <w:lang w:eastAsia="zh-CN"/>
        </w:rPr>
        <w:t>（《四川省科技成果评价综合改革总体方案》</w:t>
      </w:r>
      <w:r>
        <w:rPr>
          <w:rFonts w:hint="default" w:ascii="Times New Roman" w:hAnsi="Times New Roman" w:eastAsia="仿宋_GB2312" w:cs="Times New Roman"/>
          <w:b w:val="0"/>
          <w:bCs w:val="0"/>
          <w:color w:val="000000"/>
          <w:spacing w:val="0"/>
          <w:sz w:val="30"/>
          <w:szCs w:val="30"/>
          <w:lang w:val="en-US" w:eastAsia="zh-CN"/>
        </w:rPr>
        <w:t>1份，农业“好品种”评价指标体系和规范1套，“好品种”经济价值评估标准1套</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vertAlign w:val="baseline"/>
          <w:lang w:val="en-US" w:eastAsia="zh-CN"/>
        </w:rPr>
        <w:t>（53）科技成果评价破“四唯”和军民两用科技成果“多层次差别化”评价指标体系研究。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纠正科技成果评价单纯重数量指标、轻质量贡献等不良倾向，研究确定科学评价标准，为提高成果评价的标准化、规范化水平提供政策建议；探索研究构建多主体参与的军民两用技术成果评价机制，探索建立适用不同创新层次、区别于军用技术成果的评价指标体系。</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4</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color w:val="000000"/>
          <w:spacing w:val="0"/>
          <w:sz w:val="30"/>
          <w:szCs w:val="30"/>
          <w:lang w:val="en-US" w:eastAsia="zh-CN"/>
        </w:rPr>
        <w:t>其他4项</w:t>
      </w:r>
      <w:r>
        <w:rPr>
          <w:rFonts w:hint="default" w:ascii="Times New Roman" w:hAnsi="Times New Roman" w:eastAsia="仿宋_GB2312" w:cs="Times New Roman"/>
          <w:b w:val="0"/>
          <w:bCs w:val="0"/>
          <w:color w:val="000000"/>
          <w:spacing w:val="0"/>
          <w:sz w:val="30"/>
          <w:szCs w:val="30"/>
          <w:lang w:eastAsia="zh-CN"/>
        </w:rPr>
        <w:t>（专项改革试点实施方案</w:t>
      </w:r>
      <w:r>
        <w:rPr>
          <w:rFonts w:hint="default" w:ascii="Times New Roman" w:hAnsi="Times New Roman" w:eastAsia="仿宋_GB2312" w:cs="Times New Roman"/>
          <w:b w:val="0"/>
          <w:bCs w:val="0"/>
          <w:color w:val="000000"/>
          <w:spacing w:val="0"/>
          <w:sz w:val="30"/>
          <w:szCs w:val="30"/>
          <w:lang w:val="en-US" w:eastAsia="zh-CN"/>
        </w:rPr>
        <w:t>2份，</w:t>
      </w:r>
      <w:r>
        <w:rPr>
          <w:rFonts w:hint="default" w:ascii="Times New Roman" w:hAnsi="Times New Roman" w:eastAsia="仿宋_GB2312" w:cs="Times New Roman"/>
          <w:b w:val="0"/>
          <w:bCs w:val="0"/>
          <w:spacing w:val="0"/>
          <w:sz w:val="30"/>
          <w:szCs w:val="30"/>
          <w:lang w:val="en-US" w:eastAsia="zh-CN"/>
        </w:rPr>
        <w:t>科技人才评价体系1套，军转民科技成果标准、特色评价指标体系和相关工作流程1套</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vertAlign w:val="baseline"/>
          <w:lang w:val="en-US" w:eastAsia="zh-CN"/>
        </w:rPr>
        <w:t>（54）探索建立规范化的第三方评价制度和完善重大科技项目知识产权全流程管理机制研究。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研究形成科技成果评价通用准则，提出构建专业化、市场化、社会化的第三方评价体系的政策建议；围绕建立健全科技项目知识产权制度，提出完善职务科技成果披露机制、建立专利申请前评估制度等方面的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4</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color w:val="000000"/>
          <w:spacing w:val="0"/>
          <w:sz w:val="30"/>
          <w:szCs w:val="30"/>
          <w:lang w:val="en-US" w:eastAsia="zh-CN"/>
        </w:rPr>
        <w:t>其他4项</w:t>
      </w:r>
      <w:r>
        <w:rPr>
          <w:rFonts w:hint="default" w:ascii="Times New Roman" w:hAnsi="Times New Roman" w:eastAsia="仿宋_GB2312" w:cs="Times New Roman"/>
          <w:b w:val="0"/>
          <w:bCs w:val="0"/>
          <w:color w:val="000000"/>
          <w:spacing w:val="0"/>
          <w:sz w:val="30"/>
          <w:szCs w:val="30"/>
          <w:lang w:eastAsia="zh-CN"/>
        </w:rPr>
        <w:t>（专项改革试点实施方案</w:t>
      </w:r>
      <w:r>
        <w:rPr>
          <w:rFonts w:hint="default" w:ascii="Times New Roman" w:hAnsi="Times New Roman" w:eastAsia="仿宋_GB2312" w:cs="Times New Roman"/>
          <w:b w:val="0"/>
          <w:bCs w:val="0"/>
          <w:color w:val="000000"/>
          <w:spacing w:val="0"/>
          <w:sz w:val="30"/>
          <w:szCs w:val="30"/>
          <w:lang w:val="en-US" w:eastAsia="zh-CN"/>
        </w:rPr>
        <w:t>2份，科技成果评价通用准则1份，重大科技项目知识产权管理流程的相关管理办法1个</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（55）</w:t>
      </w:r>
      <w:r>
        <w:rPr>
          <w:rFonts w:hint="default" w:ascii="Times New Roman" w:hAnsi="Times New Roman" w:eastAsia="仿宋_GB2312" w:cs="Times New Roman"/>
          <w:b w:val="0"/>
          <w:bCs w:val="0"/>
          <w:spacing w:val="0"/>
          <w:sz w:val="30"/>
          <w:szCs w:val="30"/>
          <w:vertAlign w:val="baseline"/>
          <w:lang w:eastAsia="zh-CN"/>
        </w:rPr>
        <w:t>重大新药成果转移转化体制机制创新及模式研究。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推进四川省重大新药创制国家科技重大专项成果转移转化试点示范工作，开展符合新药成果转化特点的技术创新体系、技术交易体系、科技金融服务体系、科技评价服务体系、人才服务体系、示范带动服务体系等创新研究，形成推动四川省生物医药成果转化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 xml:space="preserve">1.14 </w:t>
      </w:r>
      <w:r>
        <w:rPr>
          <w:rFonts w:hint="default" w:ascii="Times New Roman" w:hAnsi="Times New Roman" w:eastAsia="仿宋_GB2312" w:cs="Times New Roman"/>
          <w:b w:val="0"/>
          <w:bCs w:val="0"/>
          <w:spacing w:val="0"/>
          <w:kern w:val="2"/>
          <w:sz w:val="30"/>
          <w:szCs w:val="30"/>
          <w:lang w:val="en-US" w:eastAsia="zh-CN" w:bidi="ar-SA"/>
        </w:rPr>
        <w:t>科技金融政策研究</w:t>
      </w:r>
      <w:r>
        <w:rPr>
          <w:rFonts w:hint="default" w:ascii="Times New Roman" w:hAnsi="Times New Roman" w:eastAsia="仿宋_GB2312" w:cs="Times New Roman"/>
          <w:b w:val="0"/>
          <w:bCs w:val="0"/>
          <w:spacing w:val="0"/>
          <w:kern w:val="2"/>
          <w:sz w:val="30"/>
          <w:szCs w:val="30"/>
          <w:vertAlign w:val="baseline"/>
          <w:lang w:val="en-US" w:eastAsia="zh-CN" w:bidi="ar-SA"/>
        </w:rPr>
        <w:t>课题</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（56）建立四川科技金融集团探索性研究。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我省缺乏科技金融平台的现实问题，研究国内外科技金融平台发展经验，分析四川建立科技金融集团的基础及现实需求，提出四川建立科技金融集团的实施路径，形成探索建立四川科技金融集团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4</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有关说明：该课题由省政府研究室组织并出具推荐函，商相关归口单位推荐上报，限推荐1项，申报经费不超过30万元。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（57）</w:t>
      </w:r>
      <w:r>
        <w:rPr>
          <w:rFonts w:hint="default" w:ascii="Times New Roman" w:hAnsi="Times New Roman" w:eastAsia="仿宋_GB2312" w:cs="Times New Roman"/>
          <w:b w:val="0"/>
          <w:bCs w:val="0"/>
          <w:spacing w:val="0"/>
          <w:sz w:val="30"/>
          <w:szCs w:val="30"/>
          <w:vertAlign w:val="baseline"/>
          <w:lang w:eastAsia="zh-CN"/>
        </w:rPr>
        <w:t>四川省科技金融发展现状分析与政策研究。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开展四川省科技企业融资现状调研及分析，研究通过金融科技技术缓解科技企业融资难的具体方式，选取典型案例进行分析并探索适宜四川省实际情况的“科技企业融资四川模式”，形成相关政策建议及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考核指标：政策建议2条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省地方金融监管局</w:t>
      </w:r>
      <w:r>
        <w:rPr>
          <w:rFonts w:hint="default" w:ascii="Times New Roman" w:hAnsi="Times New Roman" w:eastAsia="仿宋_GB2312" w:cs="Times New Roman"/>
          <w:b w:val="0"/>
          <w:bCs w:val="0"/>
          <w:spacing w:val="0"/>
          <w:sz w:val="30"/>
          <w:szCs w:val="30"/>
          <w:lang w:val="en-US" w:eastAsia="zh-CN"/>
        </w:rPr>
        <w:t>组织并出具推荐函，</w:t>
      </w:r>
      <w:r>
        <w:rPr>
          <w:rFonts w:hint="default" w:ascii="Times New Roman" w:hAnsi="Times New Roman" w:eastAsia="仿宋_GB2312" w:cs="Times New Roman"/>
          <w:b w:val="0"/>
          <w:bCs w:val="0"/>
          <w:spacing w:val="-6"/>
          <w:sz w:val="30"/>
          <w:szCs w:val="30"/>
          <w:lang w:val="en-US" w:eastAsia="zh-CN"/>
        </w:rPr>
        <w:t>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（58）成渝双城经济圈下科技金融服务效能提升模式及政策制度研究。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改善成渝两地科技金融服务效能较低、创新动能不足的现状，研究以政府、科技企业和金融机构为主体的科技金融政策服务效能模式，形成加快成渝双城经济圈金融驱动科技型企业发展效能提升的政策建议和研究报告，为完善成渝两地科技金融政策框架和提供治理体系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考核指标：政策建议2条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论文1篇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有关说明：该课题由成都市科技局组织并出具推荐函，商相关归口单位推荐上报，限推荐1项，申报经费不超过10万元。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（59）</w:t>
      </w:r>
      <w:r>
        <w:rPr>
          <w:rFonts w:hint="default" w:ascii="Times New Roman" w:hAnsi="Times New Roman" w:eastAsia="仿宋_GB2312" w:cs="Times New Roman"/>
          <w:b w:val="0"/>
          <w:bCs w:val="0"/>
          <w:spacing w:val="0"/>
          <w:sz w:val="30"/>
          <w:szCs w:val="30"/>
          <w:vertAlign w:val="baseline"/>
          <w:lang w:eastAsia="zh-CN"/>
        </w:rPr>
        <w:t>四川省科技金融创新基地和创新人才服务机制研究。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开展科技金融创新基地建设、资源聚集、政策保障研究和科技金融人才培育、精准服务、激励机制等研究，形成科技金融创新基地建设和人才培养的政策建议和研究报告，提出科技金融创新基地服务模式和人才服务创新机制的有效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3</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（60）</w:t>
      </w:r>
      <w:r>
        <w:rPr>
          <w:rFonts w:hint="default" w:ascii="Times New Roman" w:hAnsi="Times New Roman" w:eastAsia="仿宋_GB2312" w:cs="Times New Roman"/>
          <w:b w:val="0"/>
          <w:bCs w:val="0"/>
          <w:spacing w:val="0"/>
          <w:sz w:val="30"/>
          <w:szCs w:val="30"/>
          <w:vertAlign w:val="baseline"/>
          <w:lang w:eastAsia="zh-CN"/>
        </w:rPr>
        <w:t>四川省科技金融评价指数研究。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：研究建立四川省科技金融评价指标体系，从科技金融基础、潜力、环境、特色等方面丰富指标体系，构建科技金融评价指数，对四川省各区域和相关省市做出对比评价，提出四川省科技金融的未来发展建议。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3</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1.15 人才队伍和引才引智政策研究</w:t>
      </w:r>
      <w:r>
        <w:rPr>
          <w:rFonts w:hint="default" w:ascii="Times New Roman" w:hAnsi="Times New Roman" w:eastAsia="仿宋_GB2312" w:cs="Times New Roman"/>
          <w:b w:val="0"/>
          <w:bCs w:val="0"/>
          <w:spacing w:val="0"/>
          <w:kern w:val="2"/>
          <w:sz w:val="30"/>
          <w:szCs w:val="30"/>
          <w:vertAlign w:val="baseline"/>
          <w:lang w:val="en-US" w:eastAsia="zh-CN" w:bidi="ar-SA"/>
        </w:rPr>
        <w:t>课题</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（61）</w:t>
      </w:r>
      <w:r>
        <w:rPr>
          <w:rFonts w:hint="default" w:ascii="Times New Roman" w:hAnsi="Times New Roman" w:eastAsia="仿宋_GB2312" w:cs="Times New Roman"/>
          <w:b w:val="0"/>
          <w:bCs w:val="0"/>
          <w:spacing w:val="0"/>
          <w:sz w:val="30"/>
          <w:szCs w:val="30"/>
          <w:vertAlign w:val="baseline"/>
          <w:lang w:eastAsia="zh-CN"/>
        </w:rPr>
        <w:t>新形势下四川省引才引智政策改革创新研究。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：围绕四川省引才引智工作面临新问题，对四川省引才引智政策实施效果做出精准评价，发现影响政策实施的因素，从政府、服务机构和社会需求三方面提出改革建议，为政策改革创新提供理论和实证研究依据。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考核指标：政策建议2条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省委组织部</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（62）</w:t>
      </w:r>
      <w:r>
        <w:rPr>
          <w:rFonts w:hint="default" w:ascii="Times New Roman" w:hAnsi="Times New Roman" w:eastAsia="仿宋_GB2312" w:cs="Times New Roman"/>
          <w:b w:val="0"/>
          <w:bCs w:val="0"/>
          <w:spacing w:val="0"/>
          <w:sz w:val="30"/>
          <w:szCs w:val="30"/>
          <w:vertAlign w:val="baseline"/>
          <w:lang w:eastAsia="zh-CN"/>
        </w:rPr>
        <w:t>新形势下引才引智工作应对策略研究。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应对新冠肺炎疫情和国际形势变化对四川引进国（境）外人才和智力成果带来的影响，开展管理服务体系、主体培育、引进形式、政策制度等策略研究，形成推动四川引才引智服务科技创新和高质量发展的政策建议、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2篇，专著1部，</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（63）在川工作</w:t>
      </w:r>
      <w:r>
        <w:rPr>
          <w:rFonts w:hint="default" w:ascii="Times New Roman" w:hAnsi="Times New Roman" w:eastAsia="仿宋_GB2312" w:cs="Times New Roman"/>
          <w:b w:val="0"/>
          <w:bCs w:val="0"/>
          <w:spacing w:val="0"/>
          <w:sz w:val="30"/>
          <w:szCs w:val="30"/>
          <w:vertAlign w:val="baseline"/>
          <w:lang w:eastAsia="zh-CN"/>
        </w:rPr>
        <w:t>外国人才</w:t>
      </w:r>
      <w:r>
        <w:rPr>
          <w:rFonts w:hint="default" w:ascii="Times New Roman" w:hAnsi="Times New Roman" w:eastAsia="仿宋_GB2312" w:cs="Times New Roman"/>
          <w:b w:val="0"/>
          <w:bCs w:val="0"/>
          <w:spacing w:val="0"/>
          <w:sz w:val="30"/>
          <w:szCs w:val="30"/>
          <w:vertAlign w:val="baseline"/>
          <w:lang w:val="en-US" w:eastAsia="zh-CN"/>
        </w:rPr>
        <w:t>安全影响因素及对策研究。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结合四川关键领域核心技术对外国人才的需求情况，从外籍人才出入境审批、在川工作管理服务等方面分析，找出影响外籍人才安全关键因素及其相互作用机制，提出四川构建外籍人才安全防控体系建设的对策建议，完成在川工作外国人才发展白皮书起草工作。</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4</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3</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有关说明：该课题由科技厅组织，商相关归口单位推荐上报，限推荐1项，申报经费不超过30万元。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（64）四川省战略科技人才培养研究。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w:t>
      </w:r>
      <w:r>
        <w:rPr>
          <w:rFonts w:hint="default" w:ascii="Times New Roman" w:hAnsi="Times New Roman" w:eastAsia="仿宋_GB2312" w:cs="Times New Roman"/>
          <w:b w:val="0"/>
          <w:bCs w:val="0"/>
          <w:spacing w:val="0"/>
          <w:sz w:val="30"/>
          <w:szCs w:val="30"/>
          <w:lang w:val="en-US" w:eastAsia="zh-CN"/>
        </w:rPr>
        <w:t>围绕四川省战略科技人才培养，研究四川省急需相关领域对战略人才实际需求和培养使用现状，找出四川省战略科技人才引进培养使用中的问题和瓶颈，形成四川省战略科技人才队伍建设的政策建议。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lang w:eastAsia="zh-CN"/>
        </w:rPr>
      </w:pPr>
      <w:r>
        <w:rPr>
          <w:rFonts w:hint="default" w:ascii="Times New Roman" w:hAnsi="Times New Roman" w:eastAsia="仿宋_GB2312" w:cs="Times New Roman"/>
          <w:b w:val="0"/>
          <w:bCs w:val="0"/>
          <w:color w:val="auto"/>
          <w:spacing w:val="0"/>
          <w:sz w:val="30"/>
          <w:szCs w:val="30"/>
        </w:rPr>
        <w:t>考核指标：政策建议4条，研究报告2篇</w:t>
      </w:r>
      <w:r>
        <w:rPr>
          <w:rFonts w:hint="default" w:ascii="Times New Roman" w:hAnsi="Times New Roman" w:eastAsia="仿宋_GB2312" w:cs="Times New Roman"/>
          <w:b w:val="0"/>
          <w:bCs w:val="0"/>
          <w:color w:val="auto"/>
          <w:spacing w:val="0"/>
          <w:sz w:val="30"/>
          <w:szCs w:val="30"/>
          <w:lang w:eastAsia="zh-CN"/>
        </w:rPr>
        <w:t>，</w:t>
      </w:r>
      <w:r>
        <w:rPr>
          <w:rFonts w:hint="default" w:ascii="Times New Roman" w:hAnsi="Times New Roman" w:eastAsia="仿宋_GB2312" w:cs="Times New Roman"/>
          <w:b w:val="0"/>
          <w:bCs w:val="0"/>
          <w:color w:val="auto"/>
          <w:spacing w:val="0"/>
          <w:sz w:val="30"/>
          <w:szCs w:val="30"/>
        </w:rPr>
        <w:t>论文1 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auto"/>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vertAlign w:val="baseline"/>
          <w:lang w:val="en-US" w:eastAsia="zh-CN"/>
        </w:rPr>
        <w:t>（65）发挥创新平台和科技项目集聚科技人才作用研究。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w:t>
      </w:r>
      <w:r>
        <w:rPr>
          <w:rFonts w:hint="default" w:ascii="Times New Roman" w:hAnsi="Times New Roman" w:eastAsia="仿宋_GB2312" w:cs="Times New Roman"/>
          <w:b w:val="0"/>
          <w:bCs w:val="0"/>
          <w:spacing w:val="0"/>
          <w:sz w:val="30"/>
          <w:szCs w:val="30"/>
          <w:vertAlign w:val="baseline"/>
          <w:lang w:val="en-US" w:eastAsia="zh-CN"/>
        </w:rPr>
        <w:t>研究我省创新平台和科技项目在科技人才集聚中作用发挥的现状与问题，提出新形势下通过创新平台和科技项目集聚科技人才的实现路径、发展模式和政策支持，形成推动我省创新平台和科技项目促进科技人才集聚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lang w:val="en-US" w:eastAsia="zh-CN"/>
        </w:rPr>
      </w:pPr>
      <w:r>
        <w:rPr>
          <w:rFonts w:hint="default" w:ascii="Times New Roman" w:hAnsi="Times New Roman" w:eastAsia="仿宋_GB2312" w:cs="Times New Roman"/>
          <w:b w:val="0"/>
          <w:bCs w:val="0"/>
          <w:color w:val="auto"/>
          <w:spacing w:val="0"/>
          <w:sz w:val="30"/>
          <w:szCs w:val="30"/>
        </w:rPr>
        <w:t>考核指标：政策建议</w:t>
      </w:r>
      <w:r>
        <w:rPr>
          <w:rFonts w:hint="default" w:ascii="Times New Roman" w:hAnsi="Times New Roman" w:eastAsia="仿宋_GB2312" w:cs="Times New Roman"/>
          <w:b w:val="0"/>
          <w:bCs w:val="0"/>
          <w:color w:val="auto"/>
          <w:spacing w:val="0"/>
          <w:sz w:val="30"/>
          <w:szCs w:val="30"/>
          <w:lang w:val="en-US" w:eastAsia="zh-CN"/>
        </w:rPr>
        <w:t>2</w:t>
      </w:r>
      <w:r>
        <w:rPr>
          <w:rFonts w:hint="default" w:ascii="Times New Roman" w:hAnsi="Times New Roman" w:eastAsia="仿宋_GB2312" w:cs="Times New Roman"/>
          <w:b w:val="0"/>
          <w:bCs w:val="0"/>
          <w:color w:val="auto"/>
          <w:spacing w:val="0"/>
          <w:sz w:val="30"/>
          <w:szCs w:val="30"/>
        </w:rPr>
        <w:t>条，研究报告</w:t>
      </w:r>
      <w:r>
        <w:rPr>
          <w:rFonts w:hint="default" w:ascii="Times New Roman" w:hAnsi="Times New Roman" w:eastAsia="仿宋_GB2312" w:cs="Times New Roman"/>
          <w:b w:val="0"/>
          <w:bCs w:val="0"/>
          <w:color w:val="auto"/>
          <w:spacing w:val="0"/>
          <w:sz w:val="30"/>
          <w:szCs w:val="30"/>
          <w:lang w:val="en-US" w:eastAsia="zh-CN"/>
        </w:rPr>
        <w:t>1</w:t>
      </w:r>
      <w:r>
        <w:rPr>
          <w:rFonts w:hint="default" w:ascii="Times New Roman" w:hAnsi="Times New Roman" w:eastAsia="仿宋_GB2312" w:cs="Times New Roman"/>
          <w:b w:val="0"/>
          <w:bCs w:val="0"/>
          <w:color w:val="auto"/>
          <w:spacing w:val="0"/>
          <w:sz w:val="30"/>
          <w:szCs w:val="30"/>
        </w:rPr>
        <w:t>篇</w:t>
      </w:r>
      <w:r>
        <w:rPr>
          <w:rFonts w:hint="default" w:ascii="Times New Roman" w:hAnsi="Times New Roman" w:eastAsia="仿宋_GB2312" w:cs="Times New Roman"/>
          <w:b w:val="0"/>
          <w:bCs w:val="0"/>
          <w:color w:val="auto"/>
          <w:spacing w:val="0"/>
          <w:sz w:val="30"/>
          <w:szCs w:val="30"/>
          <w:lang w:eastAsia="zh-CN"/>
        </w:rPr>
        <w:t>，</w:t>
      </w:r>
      <w:r>
        <w:rPr>
          <w:rFonts w:hint="default" w:ascii="Times New Roman" w:hAnsi="Times New Roman" w:eastAsia="仿宋_GB2312" w:cs="Times New Roman"/>
          <w:b w:val="0"/>
          <w:bCs w:val="0"/>
          <w:color w:val="auto"/>
          <w:spacing w:val="0"/>
          <w:sz w:val="30"/>
          <w:szCs w:val="30"/>
        </w:rPr>
        <w:t>论文1 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eastAsia="zh-CN"/>
        </w:rPr>
        <w:t>（</w:t>
      </w:r>
      <w:r>
        <w:rPr>
          <w:rFonts w:hint="default" w:ascii="Times New Roman" w:hAnsi="Times New Roman" w:eastAsia="仿宋_GB2312" w:cs="Times New Roman"/>
          <w:b w:val="0"/>
          <w:bCs w:val="0"/>
          <w:spacing w:val="0"/>
          <w:sz w:val="30"/>
          <w:szCs w:val="30"/>
          <w:vertAlign w:val="baseline"/>
          <w:lang w:val="en-US" w:eastAsia="zh-CN"/>
        </w:rPr>
        <w:t>66</w:t>
      </w:r>
      <w:r>
        <w:rPr>
          <w:rFonts w:hint="default" w:ascii="Times New Roman" w:hAnsi="Times New Roman" w:eastAsia="仿宋_GB2312" w:cs="Times New Roman"/>
          <w:b w:val="0"/>
          <w:bCs w:val="0"/>
          <w:spacing w:val="0"/>
          <w:sz w:val="30"/>
          <w:szCs w:val="30"/>
          <w:vertAlign w:val="baseline"/>
          <w:lang w:eastAsia="zh-CN"/>
        </w:rPr>
        <w:t>）离退休科技管理人员参与科技决策咨询的路径研究。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：围绕更好发挥四川离退休科技管理人员在科技决策咨询中的作用，开展国内外实践经验、四川省现状分析，形成促进四川离退休科技管理人员在科技决策咨询中发挥重要作用的政策建议和研究报告。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（67）</w:t>
      </w:r>
      <w:r>
        <w:rPr>
          <w:rFonts w:hint="default" w:ascii="Times New Roman" w:hAnsi="Times New Roman" w:eastAsia="仿宋_GB2312" w:cs="Times New Roman"/>
          <w:b w:val="0"/>
          <w:bCs w:val="0"/>
          <w:spacing w:val="0"/>
          <w:sz w:val="30"/>
          <w:szCs w:val="30"/>
          <w:vertAlign w:val="baseline"/>
          <w:lang w:eastAsia="zh-CN"/>
        </w:rPr>
        <w:t>新形势下四川省转制科研院所人才队伍建设研究。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分析四川省转制科研院所人才队伍建设现状，研究转制院所人才队伍建设面临的人才流失、引进乏力、结构不合理等方面存在的问题，从人才规划、选人用人机制、绩效考核、职业生涯管理等方面提出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4</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vertAlign w:val="baseline"/>
          <w:lang w:val="en-US" w:eastAsia="zh-CN"/>
        </w:rPr>
        <w:t>（68）新时代医疗机构干部人事档案管理探索研究。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eastAsia="zh-CN"/>
        </w:rPr>
      </w:pPr>
      <w:r>
        <w:rPr>
          <w:rFonts w:hint="default" w:ascii="Times New Roman" w:hAnsi="Times New Roman" w:eastAsia="仿宋_GB2312" w:cs="Times New Roman"/>
          <w:b w:val="0"/>
          <w:bCs w:val="0"/>
          <w:color w:val="auto"/>
          <w:spacing w:val="0"/>
          <w:sz w:val="30"/>
          <w:szCs w:val="30"/>
          <w:vertAlign w:val="baseline"/>
          <w:lang w:eastAsia="zh-CN"/>
        </w:rPr>
        <w:t>研究内容：围绕医疗机构人员成分复杂、岗位差异、人档分离、管用脱节等问题，开展医生、护士、技师、药师、行政管理及长聘临聘、引进人才等不同类型人员的人事档案规范化管理研究，形成医疗机构人事档案规范化管理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rPr>
        <w:t>考核指标：政策建议2条</w:t>
      </w:r>
      <w:r>
        <w:rPr>
          <w:rFonts w:hint="default" w:ascii="Times New Roman" w:hAnsi="Times New Roman" w:eastAsia="仿宋_GB2312" w:cs="Times New Roman"/>
          <w:b w:val="0"/>
          <w:bCs w:val="0"/>
          <w:color w:val="auto"/>
          <w:spacing w:val="0"/>
          <w:sz w:val="30"/>
          <w:szCs w:val="30"/>
          <w:lang w:eastAsia="zh-CN"/>
        </w:rPr>
        <w:t>，</w:t>
      </w:r>
      <w:r>
        <w:rPr>
          <w:rFonts w:hint="default" w:ascii="Times New Roman" w:hAnsi="Times New Roman" w:eastAsia="仿宋_GB2312" w:cs="Times New Roman"/>
          <w:b w:val="0"/>
          <w:bCs w:val="0"/>
          <w:color w:val="auto"/>
          <w:spacing w:val="0"/>
          <w:sz w:val="30"/>
          <w:szCs w:val="30"/>
        </w:rPr>
        <w:t>研究报告1篇</w:t>
      </w:r>
      <w:r>
        <w:rPr>
          <w:rFonts w:hint="default" w:ascii="Times New Roman" w:hAnsi="Times New Roman" w:eastAsia="仿宋_GB2312" w:cs="Times New Roman"/>
          <w:b w:val="0"/>
          <w:bCs w:val="0"/>
          <w:color w:val="auto"/>
          <w:spacing w:val="0"/>
          <w:sz w:val="30"/>
          <w:szCs w:val="30"/>
          <w:lang w:val="en-US" w:eastAsia="zh-CN"/>
        </w:rPr>
        <w:t>，其他1项</w:t>
      </w:r>
      <w:r>
        <w:rPr>
          <w:rFonts w:hint="default" w:ascii="Times New Roman" w:hAnsi="Times New Roman" w:eastAsia="仿宋_GB2312" w:cs="Times New Roman"/>
          <w:b w:val="0"/>
          <w:bCs w:val="0"/>
          <w:color w:val="auto"/>
          <w:spacing w:val="0"/>
          <w:sz w:val="30"/>
          <w:szCs w:val="30"/>
          <w:lang w:eastAsia="zh-CN"/>
        </w:rPr>
        <w:t>（</w:t>
      </w:r>
      <w:r>
        <w:rPr>
          <w:rFonts w:hint="default" w:ascii="Times New Roman" w:hAnsi="Times New Roman" w:eastAsia="仿宋_GB2312" w:cs="Times New Roman"/>
          <w:b w:val="0"/>
          <w:bCs w:val="0"/>
          <w:color w:val="auto"/>
          <w:spacing w:val="0"/>
          <w:sz w:val="30"/>
          <w:szCs w:val="30"/>
        </w:rPr>
        <w:t>向科技厅报送1篇调研报告</w:t>
      </w:r>
      <w:r>
        <w:rPr>
          <w:rFonts w:hint="default" w:ascii="Times New Roman" w:hAnsi="Times New Roman" w:eastAsia="仿宋_GB2312" w:cs="Times New Roman"/>
          <w:b w:val="0"/>
          <w:bCs w:val="0"/>
          <w:color w:val="auto"/>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lang w:val="en-US" w:eastAsia="zh-CN"/>
        </w:rPr>
      </w:pPr>
      <w:r>
        <w:rPr>
          <w:rFonts w:hint="default" w:ascii="Times New Roman" w:hAnsi="Times New Roman" w:eastAsia="仿宋_GB2312" w:cs="Times New Roman"/>
          <w:b w:val="0"/>
          <w:bCs w:val="0"/>
          <w:color w:val="auto"/>
          <w:spacing w:val="0"/>
          <w:sz w:val="30"/>
          <w:szCs w:val="30"/>
          <w:lang w:val="en-US" w:eastAsia="zh-CN"/>
        </w:rPr>
        <w:t>有关说明：该课题由科技厅组织，商相关归口单位推荐上报，限推荐1项，申报经费不超过10万元。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（69）</w:t>
      </w:r>
      <w:r>
        <w:rPr>
          <w:rFonts w:hint="default" w:ascii="Times New Roman" w:hAnsi="Times New Roman" w:eastAsia="仿宋_GB2312" w:cs="Times New Roman"/>
          <w:b w:val="0"/>
          <w:bCs w:val="0"/>
          <w:spacing w:val="0"/>
          <w:sz w:val="30"/>
          <w:szCs w:val="30"/>
          <w:vertAlign w:val="baseline"/>
          <w:lang w:eastAsia="zh-CN"/>
        </w:rPr>
        <w:t>乡村振兴进程中乡村人才支撑体系建设研究。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以内江市等为样本，分析乡村人才支撑体系建设的现状，开展乡村人才支撑体系建设的基本内容、具体路径、运行机制等研究，形成乡村振兴进程中乡村人才支撑体系建设研究的政策建议，为乡村留住人才、培养人才提供参考借鉴。</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2篇，专著1部，</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内江市科技局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lang w:val="en-US" w:eastAsia="zh-CN"/>
        </w:rPr>
        <w:t xml:space="preserve">1.16 </w:t>
      </w:r>
      <w:r>
        <w:rPr>
          <w:rFonts w:hint="default" w:ascii="Times New Roman" w:hAnsi="Times New Roman" w:eastAsia="仿宋_GB2312" w:cs="Times New Roman"/>
          <w:b w:val="0"/>
          <w:bCs w:val="0"/>
          <w:spacing w:val="0"/>
          <w:sz w:val="30"/>
          <w:szCs w:val="30"/>
          <w:vertAlign w:val="baseline"/>
          <w:lang w:val="en-US" w:eastAsia="zh-CN"/>
        </w:rPr>
        <w:t>军民科技协同创新研究</w:t>
      </w:r>
      <w:r>
        <w:rPr>
          <w:rFonts w:hint="default" w:ascii="Times New Roman" w:hAnsi="Times New Roman" w:eastAsia="仿宋_GB2312" w:cs="Times New Roman"/>
          <w:b w:val="0"/>
          <w:bCs w:val="0"/>
          <w:spacing w:val="0"/>
          <w:sz w:val="30"/>
          <w:szCs w:val="30"/>
          <w:vertAlign w:val="baseline"/>
          <w:lang w:eastAsia="zh-CN"/>
        </w:rPr>
        <w:t>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（70）军民科技协同创新过程监督和评价体系建设研究。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：围绕区域或机构的军民科技协同创新工作推进中实施情况掌握和成效评价的需求，研究军民科技协同创新过程的组成要素及相互关系、监督体系构建和运行模式，提出方法模型和工作体系架构建议。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考核指标：政策建议2条，研究报告1篇，论文1项，</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省委军民融合办</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（71）</w:t>
      </w:r>
      <w:r>
        <w:rPr>
          <w:rFonts w:hint="default" w:ascii="Times New Roman" w:hAnsi="Times New Roman" w:eastAsia="仿宋_GB2312" w:cs="Times New Roman"/>
          <w:b w:val="0"/>
          <w:bCs w:val="0"/>
          <w:spacing w:val="0"/>
          <w:sz w:val="30"/>
          <w:szCs w:val="30"/>
          <w:vertAlign w:val="baseline"/>
          <w:lang w:eastAsia="zh-CN"/>
        </w:rPr>
        <w:t>军事科技在人防领域的应用研究。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解决四川省人防技术和人防设备落后的现实问题，在军事科学院已研究且解密的范围内，选择1至2个可以在人防工程中实际应用的成果，进行军转民应用性实践研究，开展四川省人防领域以企业为主导的产学研创新联合体试点，为四川省人防主管部门创新治理机制、提升治理效能提供参考依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考核指标：政策建议2条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省人防办</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1.17 创新平台建设研究</w:t>
      </w:r>
      <w:r>
        <w:rPr>
          <w:rFonts w:hint="default" w:ascii="Times New Roman" w:hAnsi="Times New Roman" w:eastAsia="仿宋_GB2312" w:cs="Times New Roman"/>
          <w:b w:val="0"/>
          <w:bCs w:val="0"/>
          <w:spacing w:val="0"/>
          <w:kern w:val="2"/>
          <w:sz w:val="30"/>
          <w:szCs w:val="30"/>
          <w:vertAlign w:val="baseline"/>
          <w:lang w:val="en-US" w:eastAsia="zh-CN" w:bidi="ar-SA"/>
        </w:rPr>
        <w:t>课题</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vertAlign w:val="baseline"/>
          <w:lang w:val="en-US" w:eastAsia="zh-CN"/>
        </w:rPr>
        <w:t>（72）四川省纵深推进战略科技力量建设研究。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解决四川战略科技力量建设信息不畅、机制不顺、资金不到位、中试平台缺乏等现实问题，研究国外战略科技力量建设先进经验及启示、国家及兄弟省份推动战略科技力量建设相关政策、四川战略科技力量建设的优势和现状，提出四川深化战略科技力量建设的路径和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5</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有关说明：该课题由省政府研究室组织并出具推荐函，商相关归口单位推荐上报，限推荐1项，申报经费不超过30万元。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vertAlign w:val="baseline"/>
          <w:lang w:eastAsia="zh-CN"/>
        </w:rPr>
      </w:pPr>
      <w:r>
        <w:rPr>
          <w:rFonts w:hint="default" w:ascii="Times New Roman" w:hAnsi="Times New Roman" w:eastAsia="仿宋_GB2312" w:cs="Times New Roman"/>
          <w:b w:val="0"/>
          <w:bCs w:val="0"/>
          <w:color w:val="000000"/>
          <w:spacing w:val="0"/>
          <w:sz w:val="30"/>
          <w:szCs w:val="30"/>
          <w:vertAlign w:val="baseline"/>
          <w:lang w:val="en-US" w:eastAsia="zh-CN"/>
        </w:rPr>
        <w:t>（73）</w:t>
      </w:r>
      <w:r>
        <w:rPr>
          <w:rFonts w:hint="default" w:ascii="Times New Roman" w:hAnsi="Times New Roman" w:eastAsia="仿宋_GB2312" w:cs="Times New Roman"/>
          <w:b w:val="0"/>
          <w:bCs w:val="0"/>
          <w:color w:val="000000"/>
          <w:spacing w:val="0"/>
          <w:sz w:val="30"/>
          <w:szCs w:val="30"/>
          <w:vertAlign w:val="baseline"/>
          <w:lang w:eastAsia="zh-CN"/>
        </w:rPr>
        <w:t>四川省住房城乡建设领域科技创新信息服务清单和科技成果库综合平台建设研究。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研究内容</w:t>
      </w:r>
      <w:r>
        <w:rPr>
          <w:rFonts w:hint="default" w:ascii="Times New Roman" w:hAnsi="Times New Roman" w:eastAsia="仿宋_GB2312" w:cs="Times New Roman"/>
          <w:b w:val="0"/>
          <w:bCs w:val="0"/>
          <w:color w:val="000000"/>
          <w:spacing w:val="0"/>
          <w:kern w:val="2"/>
          <w:sz w:val="30"/>
          <w:szCs w:val="30"/>
          <w:vertAlign w:val="baseline"/>
          <w:lang w:val="en-US" w:eastAsia="zh-CN" w:bidi="ar-SA"/>
        </w:rPr>
        <w:t>：开展住房城乡建设领域的“四新成果”（新技术、新工艺、新材料和新产品）的成果转化平台建设模式研究，完善科技成果信息采集与服务规范，开展住房城乡建设领域科技成果转化状况进行监测、分析和评价，提出相关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考核指标：政策建议2条，研究报告1篇</w:t>
      </w:r>
      <w:r>
        <w:rPr>
          <w:rFonts w:hint="default" w:ascii="Times New Roman" w:hAnsi="Times New Roman" w:eastAsia="仿宋_GB2312" w:cs="Times New Roman"/>
          <w:b w:val="0"/>
          <w:bCs w:val="0"/>
          <w:spacing w:val="0"/>
          <w:kern w:val="2"/>
          <w:sz w:val="30"/>
          <w:szCs w:val="30"/>
          <w:lang w:val="en-US" w:eastAsia="zh-CN" w:bidi="ar-SA"/>
        </w:rPr>
        <w:t>，</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有关说明：该课题由住房城乡建设厅组织并出具推荐函，商相关归口单位推荐上报，限推荐1项，申报经费不超过10万元。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vertAlign w:val="baseline"/>
          <w:lang w:val="en-US" w:eastAsia="zh-CN"/>
        </w:rPr>
        <w:t>（74）</w:t>
      </w:r>
      <w:r>
        <w:rPr>
          <w:rFonts w:hint="default" w:ascii="Times New Roman" w:hAnsi="Times New Roman" w:eastAsia="仿宋_GB2312" w:cs="Times New Roman"/>
          <w:b w:val="0"/>
          <w:bCs w:val="0"/>
          <w:spacing w:val="0"/>
          <w:sz w:val="30"/>
          <w:szCs w:val="30"/>
          <w:vertAlign w:val="baseline"/>
          <w:lang w:eastAsia="zh-CN"/>
        </w:rPr>
        <w:t>国家实验室和天府实验室运行体制机制创新研究。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：调研国内外国家实验室组织管理与运行机制，研究提出新时期实验室市场化运行机制、灵活化用人机制、颠覆性项目管理等体制机制的对策，支撑服务在川国家实验室（基地）、天府实验室高水平建设运行。</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，论文</w:t>
      </w:r>
      <w:r>
        <w:rPr>
          <w:rFonts w:hint="default" w:ascii="Times New Roman" w:hAnsi="Times New Roman" w:eastAsia="仿宋_GB2312" w:cs="Times New Roman"/>
          <w:b w:val="0"/>
          <w:bCs w:val="0"/>
          <w:spacing w:val="0"/>
          <w:sz w:val="30"/>
          <w:szCs w:val="30"/>
          <w:lang w:val="en-US" w:eastAsia="zh-CN"/>
        </w:rPr>
        <w:t>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（75）</w:t>
      </w:r>
      <w:r>
        <w:rPr>
          <w:rFonts w:hint="default" w:ascii="Times New Roman" w:hAnsi="Times New Roman" w:eastAsia="仿宋_GB2312" w:cs="Times New Roman"/>
          <w:b w:val="0"/>
          <w:bCs w:val="0"/>
          <w:spacing w:val="0"/>
          <w:sz w:val="30"/>
          <w:szCs w:val="30"/>
          <w:vertAlign w:val="baseline"/>
          <w:lang w:eastAsia="zh-CN"/>
        </w:rPr>
        <w:t>四川省野外科学观测研究站建设培育机制研究。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四川省自然条件的地理分异规律，通过对野外站建设模式、政策制度等方面调查，客观分析四川省野外站发展现状与存在问题，探索空间合理、定位明确、相互协作的野外站发展路径，提出完善四川省野外站建设培育机制的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1.18 区域协同创新与科学普及研究</w:t>
      </w:r>
      <w:r>
        <w:rPr>
          <w:rFonts w:hint="default" w:ascii="Times New Roman" w:hAnsi="Times New Roman" w:eastAsia="仿宋_GB2312" w:cs="Times New Roman"/>
          <w:b w:val="0"/>
          <w:bCs w:val="0"/>
          <w:spacing w:val="0"/>
          <w:kern w:val="2"/>
          <w:sz w:val="30"/>
          <w:szCs w:val="30"/>
          <w:vertAlign w:val="baseline"/>
          <w:lang w:val="en-US" w:eastAsia="zh-CN" w:bidi="ar-SA"/>
        </w:rPr>
        <w:t>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（76）</w:t>
      </w:r>
      <w:r>
        <w:rPr>
          <w:rFonts w:hint="default" w:ascii="Times New Roman" w:hAnsi="Times New Roman" w:eastAsia="仿宋_GB2312" w:cs="Times New Roman"/>
          <w:b w:val="0"/>
          <w:bCs w:val="0"/>
          <w:spacing w:val="0"/>
          <w:sz w:val="30"/>
          <w:szCs w:val="30"/>
          <w:vertAlign w:val="baseline"/>
          <w:lang w:eastAsia="zh-CN"/>
        </w:rPr>
        <w:t>四川区域创新发展指数研究。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：围绕创新环境、创新投入和创新产出等维度，以成都为极核，构建测度四川区域创新发展的指标体系及评价方法，客观反映四川建设国家创新型省份进程和结构化特征，提出构建区域创新体系的路径建议。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考核指标：政策建议3条，研究报告1篇，论文1项，</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成都市科技局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（77）四川省县域创新指数构建与评价研究。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按照城市主城区、重点开发区、农产品主产区、重点生态功能区四种分类，开展县域创新指数构建与县（市、区）创新能力评价，科学测算四川各县（市、区）创新指数，为分类指导、精准施策、梯次推进县域创新能力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考核指标：政策建议3条，研究报告1篇，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（78）</w:t>
      </w:r>
      <w:r>
        <w:rPr>
          <w:rFonts w:hint="default" w:ascii="Times New Roman" w:hAnsi="Times New Roman" w:eastAsia="仿宋_GB2312" w:cs="Times New Roman"/>
          <w:b w:val="0"/>
          <w:bCs w:val="0"/>
          <w:spacing w:val="0"/>
          <w:sz w:val="30"/>
          <w:szCs w:val="30"/>
          <w:vertAlign w:val="baseline"/>
          <w:lang w:eastAsia="zh-CN"/>
        </w:rPr>
        <w:t>四川科普发展情况研究。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回顾总结四川省科普工作中整体发展情况，分析四川科普人员、场地、经费、活动等方面发展状况，从整合科技资源、加强科普人才培育、科普设施建设等方面形成政策建议，为修订《四川省科学技术普及条例》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1.19 国土空间保护和生态文明体制研究</w:t>
      </w:r>
      <w:r>
        <w:rPr>
          <w:rFonts w:hint="default" w:ascii="Times New Roman" w:hAnsi="Times New Roman" w:eastAsia="仿宋_GB2312" w:cs="Times New Roman"/>
          <w:b w:val="0"/>
          <w:bCs w:val="0"/>
          <w:spacing w:val="0"/>
          <w:sz w:val="30"/>
          <w:szCs w:val="30"/>
          <w:vertAlign w:val="baseline"/>
          <w:lang w:eastAsia="zh-CN"/>
        </w:rPr>
        <w:t>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（79）</w:t>
      </w:r>
      <w:r>
        <w:rPr>
          <w:rFonts w:hint="default" w:ascii="Times New Roman" w:hAnsi="Times New Roman" w:eastAsia="仿宋_GB2312" w:cs="Times New Roman"/>
          <w:b w:val="0"/>
          <w:bCs w:val="0"/>
          <w:spacing w:val="0"/>
          <w:sz w:val="30"/>
          <w:szCs w:val="30"/>
          <w:vertAlign w:val="baseline"/>
          <w:lang w:eastAsia="zh-CN"/>
        </w:rPr>
        <w:t>四川省水土保持监管长效机制构建研究。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：围绕四川省水土保持监管在权责分配、市场化程度、基层技术能力、执法效益等方面的问题，开展省级水土保持监管长效机制研究，形成针对全省水土保持监督管理长效机制构建的政策建议和研究报告。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有关说明：该课题由水利厅组织并出具推荐函，商相关归口单位推荐上报，限推荐1项，申报经费不超过10万元。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（80）成渝地区双城经济圈生态环境行政处罚裁量标准一体化研究</w:t>
      </w:r>
      <w:r>
        <w:rPr>
          <w:rFonts w:hint="default" w:ascii="Times New Roman" w:hAnsi="Times New Roman" w:eastAsia="仿宋_GB2312" w:cs="Times New Roman"/>
          <w:b w:val="0"/>
          <w:bCs w:val="0"/>
          <w:spacing w:val="0"/>
          <w:sz w:val="30"/>
          <w:szCs w:val="30"/>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综合考虑成渝地区双城经济圈生态环境违法行为特点以及环境立法状况、执法状况、自然环境条件和社会经济条件等因素，对两地裁量标准在实践中存在的共性问题进行分析，在合理差异的基础上探索行政执法裁量基准的协同，提出推动裁量标准一体化的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考核指标：政策建议1条，研究报告1篇，论文1篇，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生态环境厅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（81）</w:t>
      </w:r>
      <w:r>
        <w:rPr>
          <w:rFonts w:hint="default" w:ascii="Times New Roman" w:hAnsi="Times New Roman" w:eastAsia="仿宋_GB2312" w:cs="Times New Roman"/>
          <w:b w:val="0"/>
          <w:bCs w:val="0"/>
          <w:spacing w:val="0"/>
          <w:sz w:val="30"/>
          <w:szCs w:val="30"/>
          <w:vertAlign w:val="baseline"/>
          <w:lang w:eastAsia="zh-CN"/>
        </w:rPr>
        <w:t>川西北地区生态补偿机制政策体系研究。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探索建立川西北生态功能区生态补偿政策体系，以阿坝州为样本，开展川西北生态补偿实施现状与问题分析，探索建立综合性的资金补偿机制和方法，形成推动川西北地区生态补偿政策法规体系建设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考核指标：政策建议3条，研究报告1篇，论文2篇，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阿坝州科技局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vertAlign w:val="baseline"/>
          <w:lang w:val="en-US" w:eastAsia="zh-CN"/>
        </w:rPr>
        <w:t>（82）四川林草碳汇价值实现路径及政策制度研究。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研究内容：围绕解决我省林草碳汇价值实现路径及政策制度研究不足的现实问题，研究林草碳汇发展现状及相关经验做法和发展实践，形成实现四川林草碳汇价值的政策建议和研究报告。</w:t>
      </w:r>
      <w:r>
        <w:rPr>
          <w:rFonts w:hint="default" w:ascii="Times New Roman" w:hAnsi="Times New Roman" w:eastAsia="仿宋_GB2312" w:cs="Times New Roman"/>
          <w:b w:val="0"/>
          <w:bCs w:val="0"/>
          <w:spacing w:val="0"/>
          <w:sz w:val="30"/>
          <w:szCs w:val="30"/>
          <w:lang w:eastAsia="zh-CN"/>
        </w:rPr>
        <w:tab/>
      </w:r>
      <w:r>
        <w:rPr>
          <w:rFonts w:hint="default" w:ascii="Times New Roman" w:hAnsi="Times New Roman" w:eastAsia="仿宋_GB2312" w:cs="Times New Roman"/>
          <w:b w:val="0"/>
          <w:bCs w:val="0"/>
          <w:spacing w:val="0"/>
          <w:sz w:val="30"/>
          <w:szCs w:val="30"/>
          <w:lang w:eastAsia="zh-CN"/>
        </w:rPr>
        <w:t>考核指标：政策建议3条，研究报告</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lang w:eastAsia="zh-CN"/>
        </w:rPr>
        <w:t>篇</w:t>
      </w:r>
      <w:r>
        <w:rPr>
          <w:rFonts w:hint="default" w:ascii="Times New Roman" w:hAnsi="Times New Roman" w:eastAsia="仿宋_GB2312" w:cs="Times New Roman"/>
          <w:b w:val="0"/>
          <w:bCs w:val="0"/>
          <w:spacing w:val="0"/>
          <w:sz w:val="30"/>
          <w:szCs w:val="30"/>
          <w:lang w:eastAsia="zh-CN"/>
        </w:rPr>
        <w:tab/>
      </w:r>
      <w:r>
        <w:rPr>
          <w:rFonts w:hint="default" w:ascii="Times New Roman" w:hAnsi="Times New Roman" w:eastAsia="仿宋_GB2312" w:cs="Times New Roman"/>
          <w:b w:val="0"/>
          <w:bCs w:val="0"/>
          <w:spacing w:val="0"/>
          <w:sz w:val="30"/>
          <w:szCs w:val="30"/>
          <w:lang w:eastAsia="zh-CN"/>
        </w:rPr>
        <w:t>论文1篇，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val="en-US" w:eastAsia="zh-CN"/>
        </w:rPr>
        <w:t>省林草局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lang w:val="en-US" w:eastAsia="zh-CN"/>
        </w:rPr>
        <w:t>83</w:t>
      </w:r>
      <w:r>
        <w:rPr>
          <w:rFonts w:hint="default" w:ascii="Times New Roman" w:hAnsi="Times New Roman" w:eastAsia="仿宋_GB2312" w:cs="Times New Roman"/>
          <w:b w:val="0"/>
          <w:bCs w:val="0"/>
          <w:spacing w:val="0"/>
          <w:sz w:val="30"/>
          <w:szCs w:val="30"/>
          <w:lang w:eastAsia="zh-CN"/>
        </w:rPr>
        <w:t>）四川省生物多样性保护评估标准研究。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研究内容：结合四川生物多样性保护的重要地位，梳理生物多样性保护现状与保护成效，研究生物多样性保护评估标准，开展生物多样性保护空缺分析，提出针对性的生物多样性保护策略和政策建议。</w:t>
      </w:r>
      <w:r>
        <w:rPr>
          <w:rFonts w:hint="default" w:ascii="Times New Roman" w:hAnsi="Times New Roman" w:eastAsia="仿宋_GB2312" w:cs="Times New Roman"/>
          <w:b w:val="0"/>
          <w:bCs w:val="0"/>
          <w:spacing w:val="0"/>
          <w:sz w:val="30"/>
          <w:szCs w:val="30"/>
          <w:lang w:eastAsia="zh-CN"/>
        </w:rPr>
        <w:tab/>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考核指标：政策建议2条，研究报告1篇，论文2篇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val="en-US" w:eastAsia="zh-CN"/>
        </w:rPr>
        <w:t xml:space="preserve">1.20 </w:t>
      </w:r>
      <w:r>
        <w:rPr>
          <w:rFonts w:hint="default" w:ascii="Times New Roman" w:hAnsi="Times New Roman" w:eastAsia="仿宋_GB2312" w:cs="Times New Roman"/>
          <w:b w:val="0"/>
          <w:bCs w:val="0"/>
          <w:spacing w:val="0"/>
          <w:sz w:val="30"/>
          <w:szCs w:val="30"/>
          <w:lang w:eastAsia="zh-CN"/>
        </w:rPr>
        <w:t>民生保障制度研究</w:t>
      </w:r>
      <w:r>
        <w:rPr>
          <w:rFonts w:hint="default" w:ascii="Times New Roman" w:hAnsi="Times New Roman" w:eastAsia="仿宋_GB2312" w:cs="Times New Roman"/>
          <w:b w:val="0"/>
          <w:bCs w:val="0"/>
          <w:spacing w:val="0"/>
          <w:sz w:val="30"/>
          <w:szCs w:val="30"/>
          <w:vertAlign w:val="baseline"/>
          <w:lang w:eastAsia="zh-CN"/>
        </w:rPr>
        <w:t>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（84）全省婴幼儿照护服务体系研究。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vertAlign w:val="baseline"/>
          <w:lang w:val="en-US" w:eastAsia="zh-CN"/>
        </w:rPr>
        <w:t>研究内容：通过剖析比较四川省与国内外0至3岁婴幼儿照护体系的现状与问题，在全省范围内调查婴幼儿照护各利益相关方的需求以及照护体系建设的意见和建议，提出有针对性的多维度婴幼儿照护体系的构建模式和实施路径。</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val="en-US"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1</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vertAlign w:val="baseline"/>
          <w:lang w:val="en-US" w:eastAsia="zh-CN"/>
        </w:rPr>
        <w:t>论文2篇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有关说明：该课题由科技厅组织，商相关归口单位推荐上报，限推荐1项，申报经费不超过30万元。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（85）</w:t>
      </w:r>
      <w:r>
        <w:rPr>
          <w:rFonts w:hint="default" w:ascii="Times New Roman" w:hAnsi="Times New Roman" w:eastAsia="仿宋_GB2312" w:cs="Times New Roman"/>
          <w:b w:val="0"/>
          <w:bCs w:val="0"/>
          <w:spacing w:val="0"/>
          <w:sz w:val="30"/>
          <w:szCs w:val="30"/>
          <w:vertAlign w:val="baseline"/>
          <w:lang w:eastAsia="zh-CN"/>
        </w:rPr>
        <w:t>四川省稳定和扩大就业对策研究。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rPr>
        <w:t>研究内容</w:t>
      </w:r>
      <w:r>
        <w:rPr>
          <w:rFonts w:hint="default" w:ascii="Times New Roman" w:hAnsi="Times New Roman" w:eastAsia="仿宋_GB2312" w:cs="Times New Roman"/>
          <w:b w:val="0"/>
          <w:bCs w:val="0"/>
          <w:spacing w:val="0"/>
          <w:sz w:val="30"/>
          <w:szCs w:val="30"/>
          <w:vertAlign w:val="baseline"/>
          <w:lang w:eastAsia="zh-CN"/>
        </w:rPr>
        <w:t>：围绕疫情多点频发、经济下行压力加大背景下，结合四川产业发展、人口状况、区域差异等客观因素，研究提出全力稳市场主体保就业、培育经济增长点拓就业、突出重点群体稳就业、精准服务促就业等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6</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人力资源社会保障厅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（86）</w:t>
      </w:r>
      <w:r>
        <w:rPr>
          <w:rFonts w:hint="default" w:ascii="Times New Roman" w:hAnsi="Times New Roman" w:eastAsia="仿宋_GB2312" w:cs="Times New Roman"/>
          <w:b w:val="0"/>
          <w:bCs w:val="0"/>
          <w:spacing w:val="0"/>
          <w:sz w:val="30"/>
          <w:szCs w:val="30"/>
          <w:vertAlign w:val="baseline"/>
          <w:lang w:eastAsia="zh-CN"/>
        </w:rPr>
        <w:t>企业军转干部解困政策研究。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：围绕解决部分企业军转干部生活困难和养老保险的现实问题，研究企业军转干部政策制定方向和改进措施，形成改进企业军转干部解困政策的研究报告和对策建议。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退役军人事务厅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6"/>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（87）</w:t>
      </w:r>
      <w:r>
        <w:rPr>
          <w:rFonts w:hint="default" w:ascii="Times New Roman" w:hAnsi="Times New Roman" w:eastAsia="仿宋_GB2312" w:cs="Times New Roman"/>
          <w:b w:val="0"/>
          <w:bCs w:val="0"/>
          <w:spacing w:val="-6"/>
          <w:sz w:val="30"/>
          <w:szCs w:val="30"/>
          <w:vertAlign w:val="baseline"/>
          <w:lang w:eastAsia="zh-CN"/>
        </w:rPr>
        <w:t>新形势下四川竞技体育全面实施“金牌战略”策略研究。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围绕解决四川省竞技体育从总分战略向金牌战略转型期中可能出现的各类现实问题，聚焦实施金牌战略所需政策保障、备战体系建设等，重点开展理论体系、主体地位、建设模式、政策制度研究，提高竞技体育整体发展效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省体育局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lang w:val="en-US" w:eastAsia="zh-CN"/>
        </w:rPr>
        <w:t>（88）文旅融合创新模式下的文化旅游数据标准（字典）编目规则、数据采集和数据应用研究</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rPr>
      </w:pPr>
      <w:r>
        <w:rPr>
          <w:rFonts w:hint="default" w:ascii="Times New Roman" w:hAnsi="Times New Roman" w:eastAsia="仿宋_GB2312" w:cs="Times New Roman"/>
          <w:b w:val="0"/>
          <w:bCs w:val="0"/>
          <w:spacing w:val="0"/>
          <w:sz w:val="30"/>
          <w:szCs w:val="30"/>
        </w:rPr>
        <w:t>研究内容：以文旅管理部门职责范围内的管理对象为研究对象，重点开展文旅数据分类编目方法、文旅数据采集方式、数据应用模式等研究</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形成数据融合共享创新</w:t>
      </w:r>
      <w:r>
        <w:rPr>
          <w:rFonts w:hint="default" w:ascii="Times New Roman" w:hAnsi="Times New Roman" w:eastAsia="仿宋_GB2312" w:cs="Times New Roman"/>
          <w:b w:val="0"/>
          <w:bCs w:val="0"/>
          <w:spacing w:val="0"/>
          <w:sz w:val="30"/>
          <w:szCs w:val="30"/>
          <w:lang w:eastAsia="zh-CN"/>
        </w:rPr>
        <w:t>政策建议和</w:t>
      </w:r>
      <w:r>
        <w:rPr>
          <w:rFonts w:hint="default" w:ascii="Times New Roman" w:hAnsi="Times New Roman" w:eastAsia="仿宋_GB2312" w:cs="Times New Roman"/>
          <w:b w:val="0"/>
          <w:bCs w:val="0"/>
          <w:spacing w:val="0"/>
          <w:sz w:val="30"/>
          <w:szCs w:val="30"/>
        </w:rPr>
        <w:t>研究报告，为</w:t>
      </w:r>
      <w:r>
        <w:rPr>
          <w:rFonts w:hint="default" w:ascii="Times New Roman" w:hAnsi="Times New Roman" w:eastAsia="仿宋_GB2312" w:cs="Times New Roman"/>
          <w:b w:val="0"/>
          <w:bCs w:val="0"/>
          <w:spacing w:val="0"/>
          <w:sz w:val="30"/>
          <w:szCs w:val="30"/>
          <w:lang w:eastAsia="zh-CN"/>
        </w:rPr>
        <w:t>四川</w:t>
      </w:r>
      <w:r>
        <w:rPr>
          <w:rFonts w:hint="default" w:ascii="Times New Roman" w:hAnsi="Times New Roman" w:eastAsia="仿宋_GB2312" w:cs="Times New Roman"/>
          <w:b w:val="0"/>
          <w:bCs w:val="0"/>
          <w:spacing w:val="0"/>
          <w:sz w:val="30"/>
          <w:szCs w:val="30"/>
        </w:rPr>
        <w:t>深入开展文化旅游数据共享创新应用提供基础支撑。</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考核指标：政策建议2条，研究报告1篇，论文1篇，应用标准1项，其他2项（形成文旅数据字典编目规范1份，</w:t>
      </w:r>
      <w:r>
        <w:rPr>
          <w:rFonts w:hint="default" w:ascii="Times New Roman" w:hAnsi="Times New Roman" w:eastAsia="仿宋_GB2312" w:cs="Times New Roman"/>
          <w:b w:val="0"/>
          <w:bCs w:val="0"/>
          <w:color w:val="000000"/>
          <w:spacing w:val="0"/>
          <w:kern w:val="2"/>
          <w:sz w:val="30"/>
          <w:szCs w:val="30"/>
          <w:lang w:val="en-US" w:eastAsia="zh-CN" w:bidi="ar-SA"/>
        </w:rPr>
        <w:t>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文化旅游厅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 xml:space="preserve">1.21 </w:t>
      </w:r>
      <w:r>
        <w:rPr>
          <w:rFonts w:hint="default" w:ascii="Times New Roman" w:hAnsi="Times New Roman" w:eastAsia="仿宋_GB2312" w:cs="Times New Roman"/>
          <w:b w:val="0"/>
          <w:bCs w:val="0"/>
          <w:spacing w:val="0"/>
          <w:sz w:val="30"/>
          <w:szCs w:val="30"/>
          <w:vertAlign w:val="baseline"/>
          <w:lang w:eastAsia="zh-CN"/>
        </w:rPr>
        <w:t>重大疾病防治理论研究课题。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（89）</w:t>
      </w:r>
      <w:r>
        <w:rPr>
          <w:rFonts w:hint="default" w:ascii="Times New Roman" w:hAnsi="Times New Roman" w:eastAsia="仿宋_GB2312" w:cs="Times New Roman"/>
          <w:b w:val="0"/>
          <w:bCs w:val="0"/>
          <w:spacing w:val="0"/>
          <w:sz w:val="30"/>
          <w:szCs w:val="30"/>
          <w:vertAlign w:val="baseline"/>
          <w:lang w:eastAsia="zh-CN"/>
        </w:rPr>
        <w:t>后疫情时代下肿瘤防治服务能力提升的新理论研究。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解决后疫情时代下四川肿瘤患者就医难、肿瘤专科医疗机构服务能力不足的现实问题，采用专家咨询、实地调研、文献等方法构建后疫情时代肿瘤防治服务能力提升新理论，形成后疫情时代下肿瘤防治服务能力提升的政策建议和研究报告，为推动四川建立肿瘤防治服务体系和治理机制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省卫生健康委</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（90）慢性阻塞性肺疾病管理现状及防治体系建设研究。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研究内容：对遂宁市内慢性阻塞性肺疾病患者信息、管理情况、生产生活环境情况等信息进行收集整理，形成对慢性阻塞性肺疾病的预防、诊断治疗、疾病管理的综合研究报告，为慢性阻塞性肺疾病的防治体系建设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spacing w:val="0"/>
          <w:kern w:val="2"/>
          <w:sz w:val="30"/>
          <w:szCs w:val="30"/>
          <w:lang w:val="en-US" w:eastAsia="zh-CN" w:bidi="ar-SA"/>
        </w:rPr>
        <w:t>，</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color w:val="000000"/>
          <w:spacing w:val="0"/>
          <w:sz w:val="30"/>
          <w:szCs w:val="30"/>
          <w:lang w:eastAsia="zh-CN"/>
        </w:rPr>
        <w:t>遂宁市科技局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（91）新型微创手术量化体系下基层外科医生培养及评估模式的研究</w:t>
      </w:r>
      <w:r>
        <w:rPr>
          <w:rFonts w:hint="default" w:ascii="Times New Roman" w:hAnsi="Times New Roman" w:eastAsia="仿宋_GB2312" w:cs="Times New Roman"/>
          <w:b w:val="0"/>
          <w:bCs w:val="0"/>
          <w:spacing w:val="0"/>
          <w:sz w:val="30"/>
          <w:szCs w:val="30"/>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解决基层优质卫生资源稀缺、医保资金浪费、因病致贫返贫等问题，以乐山市为样本，通过文献检索结合临床，研究以患者获益为导向、可量化的微创手术评估体系，探索并完善该类人才培养及评估模式，形成有关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考核指标：政策建议2条，研究报告1篇，论文4篇，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乐山市科技局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lang w:val="en-US" w:eastAsia="zh-CN"/>
        </w:rPr>
        <w:t xml:space="preserve">1.22 </w:t>
      </w:r>
      <w:r>
        <w:rPr>
          <w:rFonts w:hint="default" w:ascii="Times New Roman" w:hAnsi="Times New Roman" w:eastAsia="仿宋_GB2312" w:cs="Times New Roman"/>
          <w:b w:val="0"/>
          <w:bCs w:val="0"/>
          <w:spacing w:val="0"/>
          <w:sz w:val="30"/>
          <w:szCs w:val="30"/>
          <w:vertAlign w:val="baseline"/>
          <w:lang w:eastAsia="zh-CN"/>
        </w:rPr>
        <w:t>防灾减灾救灾和应急管理体系研究课题。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u w:val="none"/>
          <w:vertAlign w:val="baseline"/>
          <w:lang w:eastAsia="zh-CN"/>
        </w:rPr>
      </w:pPr>
      <w:r>
        <w:rPr>
          <w:rFonts w:hint="default" w:ascii="Times New Roman" w:hAnsi="Times New Roman" w:eastAsia="仿宋_GB2312" w:cs="Times New Roman"/>
          <w:b w:val="0"/>
          <w:bCs w:val="0"/>
          <w:spacing w:val="0"/>
          <w:sz w:val="30"/>
          <w:szCs w:val="30"/>
          <w:u w:val="none"/>
          <w:vertAlign w:val="baseline"/>
          <w:lang w:val="en-US" w:eastAsia="zh-CN"/>
        </w:rPr>
        <w:t>（92）四川重大自然灾害应急管理体系研究</w:t>
      </w:r>
      <w:r>
        <w:rPr>
          <w:rFonts w:hint="default" w:ascii="Times New Roman" w:hAnsi="Times New Roman" w:eastAsia="仿宋_GB2312" w:cs="Times New Roman"/>
          <w:b w:val="0"/>
          <w:bCs w:val="0"/>
          <w:spacing w:val="0"/>
          <w:sz w:val="30"/>
          <w:szCs w:val="30"/>
          <w:u w:val="none"/>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u w:val="none"/>
          <w:vertAlign w:val="baseline"/>
          <w:lang w:val="en-US" w:eastAsia="zh-CN" w:bidi="ar-SA"/>
        </w:rPr>
      </w:pPr>
      <w:r>
        <w:rPr>
          <w:rFonts w:hint="default" w:ascii="Times New Roman" w:hAnsi="Times New Roman" w:eastAsia="仿宋_GB2312" w:cs="Times New Roman"/>
          <w:b w:val="0"/>
          <w:bCs w:val="0"/>
          <w:spacing w:val="0"/>
          <w:kern w:val="2"/>
          <w:sz w:val="30"/>
          <w:szCs w:val="30"/>
          <w:u w:val="none"/>
          <w:lang w:val="en-US" w:eastAsia="zh-CN" w:bidi="ar-SA"/>
        </w:rPr>
        <w:t>研究内容</w:t>
      </w:r>
      <w:r>
        <w:rPr>
          <w:rFonts w:hint="default" w:ascii="Times New Roman" w:hAnsi="Times New Roman" w:eastAsia="仿宋_GB2312" w:cs="Times New Roman"/>
          <w:b w:val="0"/>
          <w:bCs w:val="0"/>
          <w:spacing w:val="0"/>
          <w:kern w:val="2"/>
          <w:sz w:val="30"/>
          <w:szCs w:val="30"/>
          <w:u w:val="none"/>
          <w:vertAlign w:val="baseline"/>
          <w:lang w:val="en-US" w:eastAsia="zh-CN" w:bidi="ar-SA"/>
        </w:rPr>
        <w:t>：围绕解决我省重大自然灾害应急管理体系，重点开展监测预警、应急救援、物资供应保障、灾后重建等方面的现状和短板梳理当前我省应对重大自然灾害工作体系，形成推动我省重大自然灾害应急管理体系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u w:val="none"/>
          <w:lang w:val="en-US" w:eastAsia="zh-CN" w:bidi="ar-SA"/>
        </w:rPr>
      </w:pPr>
      <w:r>
        <w:rPr>
          <w:rFonts w:hint="default" w:ascii="Times New Roman" w:hAnsi="Times New Roman" w:eastAsia="仿宋_GB2312" w:cs="Times New Roman"/>
          <w:b w:val="0"/>
          <w:bCs w:val="0"/>
          <w:spacing w:val="0"/>
          <w:kern w:val="2"/>
          <w:sz w:val="30"/>
          <w:szCs w:val="30"/>
          <w:u w:val="none"/>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u w:val="none"/>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u w:val="none"/>
          <w:lang w:val="en-US" w:eastAsia="zh-CN"/>
        </w:rPr>
      </w:pPr>
      <w:r>
        <w:rPr>
          <w:rFonts w:hint="default" w:ascii="Times New Roman" w:hAnsi="Times New Roman" w:eastAsia="仿宋_GB2312" w:cs="Times New Roman"/>
          <w:b w:val="0"/>
          <w:bCs w:val="0"/>
          <w:spacing w:val="0"/>
          <w:sz w:val="30"/>
          <w:szCs w:val="30"/>
          <w:u w:val="none"/>
          <w:lang w:val="en-US" w:eastAsia="zh-CN"/>
        </w:rPr>
        <w:t>有关说明：该课题由省委办公厅组织并出具推荐函，商相关归口单位推荐上报，限推荐1项，申报经费不超过20万元。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11"/>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（93）</w:t>
      </w:r>
      <w:r>
        <w:rPr>
          <w:rFonts w:hint="default" w:ascii="Times New Roman" w:hAnsi="Times New Roman" w:eastAsia="仿宋_GB2312" w:cs="Times New Roman"/>
          <w:b w:val="0"/>
          <w:bCs w:val="0"/>
          <w:spacing w:val="-11"/>
          <w:sz w:val="30"/>
          <w:szCs w:val="30"/>
          <w:vertAlign w:val="baseline"/>
          <w:lang w:eastAsia="zh-CN"/>
        </w:rPr>
        <w:t>四川省自然灾害综合监测预警建设及综合风险评估研究。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四川自然灾害综合监测预警支撑不足的现实问题，基于孕灾环境稳定性、致灾因子危险性、承灾体脆弱性、减灾能力等方面，研究自然灾害综合风险模型基础理论及底层数据，形成推动四川加强灾害综合风险管理能力建设的基础研究支撑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应急管理厅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（94）丘陵地区气象灾害应急管理体系建设研究——以巴中市为例。</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围绕分析影响丘陵地区的主要气象灾害种类和特征，以巴中市为样本，深入剖析丘陵地区气象灾害应急管理的现状，找出当前气象应急管理存在的问题以及原因，提出丘陵地区气象灾害应急管理体系的对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lang w:eastAsia="zh-CN"/>
        </w:rPr>
        <w:t>考核指标：政策建议5条，研究报告1篇，论文1篇</w:t>
      </w:r>
      <w:r>
        <w:rPr>
          <w:rFonts w:hint="default" w:ascii="Times New Roman" w:hAnsi="Times New Roman" w:eastAsia="仿宋_GB2312" w:cs="Times New Roman"/>
          <w:b w:val="0"/>
          <w:bCs w:val="0"/>
          <w:spacing w:val="0"/>
          <w:sz w:val="30"/>
          <w:szCs w:val="30"/>
          <w:lang w:val="en-US"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巴中市科技局</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1.23 基层社会治理研究</w:t>
      </w:r>
      <w:r>
        <w:rPr>
          <w:rFonts w:hint="default" w:ascii="Times New Roman" w:hAnsi="Times New Roman" w:eastAsia="仿宋_GB2312" w:cs="Times New Roman"/>
          <w:b w:val="0"/>
          <w:bCs w:val="0"/>
          <w:color w:val="000000"/>
          <w:spacing w:val="0"/>
          <w:kern w:val="2"/>
          <w:sz w:val="30"/>
          <w:szCs w:val="30"/>
          <w:vertAlign w:val="baseline"/>
          <w:lang w:val="en-US" w:eastAsia="zh-CN" w:bidi="ar-SA"/>
        </w:rPr>
        <w:t>课题</w:t>
      </w:r>
      <w:r>
        <w:rPr>
          <w:rFonts w:hint="default" w:ascii="Times New Roman" w:hAnsi="Times New Roman" w:eastAsia="仿宋_GB2312" w:cs="Times New Roman"/>
          <w:b w:val="0"/>
          <w:bCs w:val="0"/>
          <w:color w:val="00000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（95）</w:t>
      </w:r>
      <w:r>
        <w:rPr>
          <w:rFonts w:hint="default" w:ascii="Times New Roman" w:hAnsi="Times New Roman" w:eastAsia="仿宋_GB2312" w:cs="Times New Roman"/>
          <w:b w:val="0"/>
          <w:bCs w:val="0"/>
          <w:spacing w:val="0"/>
          <w:sz w:val="30"/>
          <w:szCs w:val="30"/>
          <w:vertAlign w:val="baseline"/>
          <w:lang w:eastAsia="zh-CN"/>
        </w:rPr>
        <w:t>社会柔性治理体系研究——以司法行政为视角。</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解决目前社会治理中过多依赖刚性管控的问题，重点开展柔性治理体系建设创新研究，分解司法行政职能的柔性属性，提出柔性治理体系架构，研究柔性治理体系的拓展应用，形成探索社会柔性治理体系建设的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考核指标：政策建议1条，研究报告1篇，论文1篇，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司法厅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11"/>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（96）</w:t>
      </w:r>
      <w:r>
        <w:rPr>
          <w:rFonts w:hint="default" w:ascii="Times New Roman" w:hAnsi="Times New Roman" w:eastAsia="仿宋_GB2312" w:cs="Times New Roman"/>
          <w:b w:val="0"/>
          <w:bCs w:val="0"/>
          <w:spacing w:val="-11"/>
          <w:sz w:val="30"/>
          <w:szCs w:val="30"/>
          <w:vertAlign w:val="baseline"/>
          <w:lang w:eastAsia="zh-CN"/>
        </w:rPr>
        <w:t>全省警犬主要病毒性传染病流行性调查及防治措施研究。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四川警犬疾病预防基础性、系统性、针对性不足等问题，对全省登记在册的警犬开展血清抗体检测，掌握主要病毒性疾病在全省警犬中的分布和概率，提出全省警犬病毒性疾病的预防和治疗措施，规范全省警犬病毒性传染病预防制度。</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考核指标：政策建议1条，研究报告1篇，论文1篇，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公安厅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（97）</w:t>
      </w:r>
      <w:r>
        <w:rPr>
          <w:rFonts w:hint="default" w:ascii="Times New Roman" w:hAnsi="Times New Roman" w:eastAsia="仿宋_GB2312" w:cs="Times New Roman"/>
          <w:b w:val="0"/>
          <w:bCs w:val="0"/>
          <w:spacing w:val="0"/>
          <w:sz w:val="30"/>
          <w:szCs w:val="30"/>
          <w:vertAlign w:val="baseline"/>
          <w:lang w:eastAsia="zh-CN"/>
        </w:rPr>
        <w:t>社会服务机构非营利综合监管体制机制研究。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：分析四川省社会服务机构发展现状，探究四川省非营利组织监管存在的问题及其成因，研究非营利综合监管模式，形成四川省社会服务机构非营利综合监管的实现路径、政策制度建议和研究报告。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考核指标：政策建议3条，研究报告1篇，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民政厅</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vertAlign w:val="baseline"/>
          <w:lang w:eastAsia="zh-CN"/>
        </w:rPr>
      </w:pPr>
      <w:r>
        <w:rPr>
          <w:rFonts w:hint="default" w:ascii="Times New Roman" w:hAnsi="Times New Roman" w:eastAsia="仿宋_GB2312" w:cs="Times New Roman"/>
          <w:b w:val="0"/>
          <w:bCs w:val="0"/>
          <w:color w:val="000000"/>
          <w:spacing w:val="0"/>
          <w:sz w:val="30"/>
          <w:szCs w:val="30"/>
          <w:vertAlign w:val="baseline"/>
          <w:lang w:val="en-US" w:eastAsia="zh-CN"/>
        </w:rPr>
        <w:t>（98）</w:t>
      </w:r>
      <w:r>
        <w:rPr>
          <w:rFonts w:hint="default" w:ascii="Times New Roman" w:hAnsi="Times New Roman" w:eastAsia="仿宋_GB2312" w:cs="Times New Roman"/>
          <w:b w:val="0"/>
          <w:bCs w:val="0"/>
          <w:color w:val="000000"/>
          <w:spacing w:val="0"/>
          <w:sz w:val="30"/>
          <w:szCs w:val="30"/>
          <w:vertAlign w:val="baseline"/>
          <w:lang w:eastAsia="zh-CN"/>
        </w:rPr>
        <w:t>社交网络中信息流行病预判机制研究。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vertAlign w:val="baseline"/>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研究内容</w:t>
      </w:r>
      <w:r>
        <w:rPr>
          <w:rFonts w:hint="default" w:ascii="Times New Roman" w:hAnsi="Times New Roman" w:eastAsia="仿宋_GB2312" w:cs="Times New Roman"/>
          <w:b w:val="0"/>
          <w:bCs w:val="0"/>
          <w:color w:val="000000"/>
          <w:spacing w:val="0"/>
          <w:kern w:val="2"/>
          <w:sz w:val="30"/>
          <w:szCs w:val="30"/>
          <w:vertAlign w:val="baseline"/>
          <w:lang w:val="en-US" w:eastAsia="zh-CN" w:bidi="ar-SA"/>
        </w:rPr>
        <w:t>：研究社交网络中信息流行病的防治方法，第一时间发现其苗头并进行持续跟踪，在传播初期进行分析和预判，为有关部门进行舆论监测与引导提供良好的数据支撑。</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考核指标：政策建议2条，研究报告1篇，论文1篇，其他1项（向科技厅报送1篇调研报告）。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lang w:val="en-US" w:eastAsia="zh-CN"/>
        </w:rPr>
      </w:pPr>
      <w:r>
        <w:rPr>
          <w:rFonts w:hint="default" w:ascii="Times New Roman" w:hAnsi="Times New Roman" w:eastAsia="仿宋_GB2312" w:cs="Times New Roman"/>
          <w:b w:val="0"/>
          <w:bCs w:val="0"/>
          <w:color w:val="000000"/>
          <w:spacing w:val="0"/>
          <w:sz w:val="30"/>
          <w:szCs w:val="30"/>
          <w:lang w:val="en-US" w:eastAsia="zh-CN"/>
        </w:rPr>
        <w:t>有关说明：该课题由科技厅组织，商相关归口单位推荐上报，限推荐1项，申报经费不超过10万元。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1.24 法治政府建设与“放管服”改革研究</w:t>
      </w:r>
      <w:r>
        <w:rPr>
          <w:rFonts w:hint="default" w:ascii="Times New Roman" w:hAnsi="Times New Roman" w:eastAsia="仿宋_GB2312" w:cs="Times New Roman"/>
          <w:b w:val="0"/>
          <w:bCs w:val="0"/>
          <w:spacing w:val="0"/>
          <w:sz w:val="30"/>
          <w:szCs w:val="30"/>
          <w:vertAlign w:val="baseline"/>
          <w:lang w:eastAsia="zh-CN"/>
        </w:rPr>
        <w:t>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（99）</w:t>
      </w:r>
      <w:r>
        <w:rPr>
          <w:rFonts w:hint="default" w:ascii="Times New Roman" w:hAnsi="Times New Roman" w:eastAsia="仿宋_GB2312" w:cs="Times New Roman"/>
          <w:b w:val="0"/>
          <w:bCs w:val="0"/>
          <w:spacing w:val="0"/>
          <w:sz w:val="30"/>
          <w:szCs w:val="30"/>
          <w:vertAlign w:val="baseline"/>
          <w:lang w:eastAsia="zh-CN"/>
        </w:rPr>
        <w:t>四川省工程审批“一网通办”前提下“最多跑一次”改革政策制度及信息化支撑体系研究。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分析四川省工程建设项目审批现状与问题，研究推进工程审批“一网通办”前提下“最多跑一次”改革的理论基础和政策制度，形成支撑“一网通办”前提下“最多跑一次”改革的工程审批信息化体系建设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考核指标：政策建议2条，研究报告2篇，论文2篇，专利1项，技术标准1项，</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vertAlign w:val="baseline"/>
          <w:lang w:eastAsia="zh-CN"/>
        </w:rPr>
        <w:t>省大数据中心</w:t>
      </w:r>
      <w:r>
        <w:rPr>
          <w:rFonts w:hint="default" w:ascii="Times New Roman" w:hAnsi="Times New Roman" w:eastAsia="仿宋_GB2312" w:cs="Times New Roman"/>
          <w:b w:val="0"/>
          <w:bCs w:val="0"/>
          <w:spacing w:val="0"/>
          <w:sz w:val="30"/>
          <w:szCs w:val="30"/>
          <w:lang w:val="en-US" w:eastAsia="zh-CN"/>
        </w:rPr>
        <w:t>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vertAlign w:val="baseline"/>
          <w:lang w:val="en-US" w:eastAsia="zh-CN"/>
        </w:rPr>
      </w:pPr>
      <w:r>
        <w:rPr>
          <w:rFonts w:hint="default" w:ascii="Times New Roman" w:hAnsi="Times New Roman" w:eastAsia="仿宋_GB2312" w:cs="Times New Roman"/>
          <w:b w:val="0"/>
          <w:bCs w:val="0"/>
          <w:color w:val="000000"/>
          <w:spacing w:val="0"/>
          <w:sz w:val="30"/>
          <w:szCs w:val="30"/>
          <w:vertAlign w:val="baseline"/>
          <w:lang w:val="en-US" w:eastAsia="zh-CN"/>
        </w:rPr>
        <w:t>（100）公共资源交易数字化转型研究。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vertAlign w:val="baseline"/>
          <w:lang w:val="en-US" w:eastAsia="zh-CN"/>
        </w:rPr>
      </w:pPr>
      <w:r>
        <w:rPr>
          <w:rFonts w:hint="default" w:ascii="Times New Roman" w:hAnsi="Times New Roman" w:eastAsia="仿宋_GB2312" w:cs="Times New Roman"/>
          <w:b w:val="0"/>
          <w:bCs w:val="0"/>
          <w:color w:val="000000"/>
          <w:spacing w:val="0"/>
          <w:sz w:val="30"/>
          <w:szCs w:val="30"/>
          <w:vertAlign w:val="baseline"/>
          <w:lang w:val="en-US" w:eastAsia="zh-CN"/>
        </w:rPr>
        <w:t>研究内容：围绕构建公共资源交易新型IT架构模式、推动公共资源交易产业创新数字化、 打造公共资源交易全景可视化、推动公共资源交易行业体系生态化、提升公共资源交易平台安全与防护等进行研究，提出公共资源交易数字化转型、从职能管理到平台赋能、</w:t>
      </w:r>
      <w:r>
        <w:rPr>
          <w:rFonts w:hint="default" w:ascii="Times New Roman" w:hAnsi="Times New Roman" w:eastAsia="仿宋_GB2312" w:cs="Times New Roman"/>
          <w:b w:val="0"/>
          <w:bCs w:val="0"/>
          <w:color w:val="000000"/>
          <w:spacing w:val="0"/>
          <w:sz w:val="30"/>
          <w:szCs w:val="30"/>
          <w:vertAlign w:val="baseline"/>
          <w:lang w:eastAsia="zh-CN"/>
        </w:rPr>
        <w:t>从被动监管报送到主动监督赋能等方面政策建议</w:t>
      </w:r>
      <w:r>
        <w:rPr>
          <w:rFonts w:hint="default" w:ascii="Times New Roman" w:hAnsi="Times New Roman" w:eastAsia="仿宋_GB2312" w:cs="Times New Roman"/>
          <w:b w:val="0"/>
          <w:bCs w:val="0"/>
          <w:color w:val="000000"/>
          <w:spacing w:val="0"/>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sz w:val="30"/>
          <w:szCs w:val="30"/>
          <w:lang w:eastAsia="zh-CN"/>
        </w:rPr>
      </w:pPr>
      <w:r>
        <w:rPr>
          <w:rFonts w:hint="default" w:ascii="Times New Roman" w:hAnsi="Times New Roman" w:eastAsia="仿宋_GB2312" w:cs="Times New Roman"/>
          <w:b w:val="0"/>
          <w:bCs w:val="0"/>
          <w:color w:val="000000"/>
          <w:spacing w:val="0"/>
          <w:sz w:val="30"/>
          <w:szCs w:val="30"/>
        </w:rPr>
        <w:t>考核指标：政策建议5条</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研究报告1篇</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论文1篇</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技术标准2项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w:t>
      </w:r>
      <w:r>
        <w:rPr>
          <w:rFonts w:hint="default" w:ascii="Times New Roman" w:hAnsi="Times New Roman" w:eastAsia="仿宋_GB2312" w:cs="Times New Roman"/>
          <w:b w:val="0"/>
          <w:bCs w:val="0"/>
          <w:spacing w:val="-6"/>
          <w:sz w:val="30"/>
          <w:szCs w:val="30"/>
          <w:lang w:val="en-US" w:eastAsia="zh-CN"/>
        </w:rPr>
        <w:t>关说明：该课题由</w:t>
      </w:r>
      <w:r>
        <w:rPr>
          <w:rFonts w:hint="default" w:ascii="Times New Roman" w:hAnsi="Times New Roman" w:eastAsia="仿宋_GB2312" w:cs="Times New Roman"/>
          <w:b w:val="0"/>
          <w:bCs w:val="0"/>
          <w:color w:val="000000"/>
          <w:spacing w:val="-6"/>
          <w:sz w:val="30"/>
          <w:szCs w:val="30"/>
          <w:vertAlign w:val="baseline"/>
          <w:lang w:val="en-US" w:eastAsia="zh-CN"/>
        </w:rPr>
        <w:t>省政务服务和资源交易服务中心</w:t>
      </w:r>
      <w:r>
        <w:rPr>
          <w:rFonts w:hint="default" w:ascii="Times New Roman" w:hAnsi="Times New Roman" w:eastAsia="仿宋_GB2312" w:cs="Times New Roman"/>
          <w:b w:val="0"/>
          <w:bCs w:val="0"/>
          <w:spacing w:val="-6"/>
          <w:sz w:val="30"/>
          <w:szCs w:val="30"/>
          <w:lang w:val="en-US" w:eastAsia="zh-CN"/>
        </w:rPr>
        <w:t>组织并出具推荐函，商相关归口单位推荐上报，限推荐1项，申报经费不超过10万元</w:t>
      </w:r>
      <w:r>
        <w:rPr>
          <w:rFonts w:hint="default" w:ascii="Times New Roman" w:hAnsi="Times New Roman" w:eastAsia="仿宋_GB2312" w:cs="Times New Roman"/>
          <w:b w:val="0"/>
          <w:bCs w:val="0"/>
          <w:spacing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vertAlign w:val="baseline"/>
          <w:lang w:val="en-US" w:eastAsia="zh-CN"/>
        </w:rPr>
        <w:t>（101）深化政务公开促进政府治理能力研究。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lang w:eastAsia="zh-CN"/>
        </w:rPr>
      </w:pPr>
      <w:r>
        <w:rPr>
          <w:rFonts w:hint="default" w:ascii="Times New Roman" w:hAnsi="Times New Roman" w:eastAsia="仿宋_GB2312" w:cs="Times New Roman"/>
          <w:b w:val="0"/>
          <w:bCs w:val="0"/>
          <w:color w:val="auto"/>
          <w:spacing w:val="0"/>
          <w:sz w:val="30"/>
          <w:szCs w:val="30"/>
          <w:lang w:eastAsia="zh-CN"/>
        </w:rPr>
        <w:t>研究内容：通过文献分析法、精准分析法、实证分析法等方式，从政务公开内容、公开方式、公开效果等方面，分析四川政务公开现状，提出促进政府治理能力提升的对策建议。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rPr>
        <w:t>考核指标：政策建议</w:t>
      </w:r>
      <w:r>
        <w:rPr>
          <w:rFonts w:hint="default" w:ascii="Times New Roman" w:hAnsi="Times New Roman" w:eastAsia="仿宋_GB2312" w:cs="Times New Roman"/>
          <w:b w:val="0"/>
          <w:bCs w:val="0"/>
          <w:color w:val="auto"/>
          <w:spacing w:val="0"/>
          <w:sz w:val="30"/>
          <w:szCs w:val="30"/>
          <w:lang w:val="en-US" w:eastAsia="zh-CN"/>
        </w:rPr>
        <w:t>2</w:t>
      </w:r>
      <w:r>
        <w:rPr>
          <w:rFonts w:hint="default" w:ascii="Times New Roman" w:hAnsi="Times New Roman" w:eastAsia="仿宋_GB2312" w:cs="Times New Roman"/>
          <w:b w:val="0"/>
          <w:bCs w:val="0"/>
          <w:color w:val="auto"/>
          <w:spacing w:val="0"/>
          <w:sz w:val="30"/>
          <w:szCs w:val="30"/>
        </w:rPr>
        <w:t>条</w:t>
      </w:r>
      <w:r>
        <w:rPr>
          <w:rFonts w:hint="default" w:ascii="Times New Roman" w:hAnsi="Times New Roman" w:eastAsia="仿宋_GB2312" w:cs="Times New Roman"/>
          <w:b w:val="0"/>
          <w:bCs w:val="0"/>
          <w:color w:val="auto"/>
          <w:spacing w:val="0"/>
          <w:sz w:val="30"/>
          <w:szCs w:val="30"/>
          <w:lang w:eastAsia="zh-CN"/>
        </w:rPr>
        <w:t>，</w:t>
      </w:r>
      <w:r>
        <w:rPr>
          <w:rFonts w:hint="default" w:ascii="Times New Roman" w:hAnsi="Times New Roman" w:eastAsia="仿宋_GB2312" w:cs="Times New Roman"/>
          <w:b w:val="0"/>
          <w:bCs w:val="0"/>
          <w:color w:val="auto"/>
          <w:spacing w:val="0"/>
          <w:sz w:val="30"/>
          <w:szCs w:val="30"/>
        </w:rPr>
        <w:t>研究报告</w:t>
      </w:r>
      <w:r>
        <w:rPr>
          <w:rFonts w:hint="default" w:ascii="Times New Roman" w:hAnsi="Times New Roman" w:eastAsia="仿宋_GB2312" w:cs="Times New Roman"/>
          <w:b w:val="0"/>
          <w:bCs w:val="0"/>
          <w:color w:val="auto"/>
          <w:spacing w:val="0"/>
          <w:sz w:val="30"/>
          <w:szCs w:val="30"/>
          <w:lang w:val="en-US" w:eastAsia="zh-CN"/>
        </w:rPr>
        <w:t>1</w:t>
      </w:r>
      <w:r>
        <w:rPr>
          <w:rFonts w:hint="default" w:ascii="Times New Roman" w:hAnsi="Times New Roman" w:eastAsia="仿宋_GB2312" w:cs="Times New Roman"/>
          <w:b w:val="0"/>
          <w:bCs w:val="0"/>
          <w:color w:val="auto"/>
          <w:spacing w:val="0"/>
          <w:sz w:val="30"/>
          <w:szCs w:val="30"/>
        </w:rPr>
        <w:t>篇</w:t>
      </w:r>
      <w:r>
        <w:rPr>
          <w:rFonts w:hint="default" w:ascii="Times New Roman" w:hAnsi="Times New Roman" w:eastAsia="仿宋_GB2312" w:cs="Times New Roman"/>
          <w:b w:val="0"/>
          <w:bCs w:val="0"/>
          <w:color w:val="auto"/>
          <w:spacing w:val="0"/>
          <w:sz w:val="30"/>
          <w:szCs w:val="30"/>
          <w:lang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auto"/>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有关说明：该课题由省政府信息公开办组织并出具推荐函，</w:t>
      </w:r>
      <w:r>
        <w:rPr>
          <w:rFonts w:hint="default" w:ascii="Times New Roman" w:hAnsi="Times New Roman" w:eastAsia="仿宋_GB2312" w:cs="Times New Roman"/>
          <w:b w:val="0"/>
          <w:bCs w:val="0"/>
          <w:spacing w:val="-6"/>
          <w:sz w:val="30"/>
          <w:szCs w:val="30"/>
          <w:lang w:val="en-US" w:eastAsia="zh-CN"/>
        </w:rPr>
        <w:t>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lang w:val="en-US" w:eastAsia="zh-CN"/>
        </w:rPr>
      </w:pPr>
      <w:r>
        <w:rPr>
          <w:rFonts w:hint="default" w:ascii="Times New Roman" w:hAnsi="Times New Roman" w:eastAsia="仿宋_GB2312" w:cs="Times New Roman"/>
          <w:b w:val="0"/>
          <w:bCs w:val="0"/>
          <w:color w:val="auto"/>
          <w:spacing w:val="0"/>
          <w:sz w:val="30"/>
          <w:szCs w:val="30"/>
          <w:lang w:val="en-US" w:eastAsia="zh-CN"/>
        </w:rPr>
        <w:t>（102）地方人大预算联网监督预警指标与规则研究。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lang w:eastAsia="zh-CN"/>
        </w:rPr>
      </w:pPr>
      <w:r>
        <w:rPr>
          <w:rFonts w:hint="default" w:ascii="Times New Roman" w:hAnsi="Times New Roman" w:eastAsia="仿宋_GB2312" w:cs="Times New Roman"/>
          <w:b w:val="0"/>
          <w:bCs w:val="0"/>
          <w:color w:val="auto"/>
          <w:spacing w:val="0"/>
          <w:sz w:val="30"/>
          <w:szCs w:val="30"/>
          <w:lang w:eastAsia="zh-CN"/>
        </w:rPr>
        <w:t>研究内容：从地方人大预算支出政策、支出总量、支出结构、重点支出、重大投资、部门预算、转移支付、政府债务、预算收入、财政预算管理、数据报送及问题整改等方面，研究预警指标体系及预警规则，形成地方人大预算联网监督的预警指标与规则，为提升四川省级和各市县人大预算联网监督效果提供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auto"/>
          <w:spacing w:val="0"/>
          <w:sz w:val="30"/>
          <w:szCs w:val="30"/>
          <w:vertAlign w:val="baseline"/>
          <w:lang w:val="en-US" w:eastAsia="zh-CN"/>
        </w:rPr>
      </w:pPr>
      <w:r>
        <w:rPr>
          <w:rFonts w:hint="default" w:ascii="Times New Roman" w:hAnsi="Times New Roman" w:eastAsia="仿宋_GB2312" w:cs="Times New Roman"/>
          <w:b w:val="0"/>
          <w:bCs w:val="0"/>
          <w:color w:val="auto"/>
          <w:spacing w:val="0"/>
          <w:sz w:val="30"/>
          <w:szCs w:val="30"/>
        </w:rPr>
        <w:t>考核指标：政策建议</w:t>
      </w:r>
      <w:r>
        <w:rPr>
          <w:rFonts w:hint="default" w:ascii="Times New Roman" w:hAnsi="Times New Roman" w:eastAsia="仿宋_GB2312" w:cs="Times New Roman"/>
          <w:b w:val="0"/>
          <w:bCs w:val="0"/>
          <w:color w:val="auto"/>
          <w:spacing w:val="0"/>
          <w:sz w:val="30"/>
          <w:szCs w:val="30"/>
          <w:lang w:val="en-US" w:eastAsia="zh-CN"/>
        </w:rPr>
        <w:t>2</w:t>
      </w:r>
      <w:r>
        <w:rPr>
          <w:rFonts w:hint="default" w:ascii="Times New Roman" w:hAnsi="Times New Roman" w:eastAsia="仿宋_GB2312" w:cs="Times New Roman"/>
          <w:b w:val="0"/>
          <w:bCs w:val="0"/>
          <w:color w:val="auto"/>
          <w:spacing w:val="0"/>
          <w:sz w:val="30"/>
          <w:szCs w:val="30"/>
        </w:rPr>
        <w:t>条</w:t>
      </w:r>
      <w:r>
        <w:rPr>
          <w:rFonts w:hint="default" w:ascii="Times New Roman" w:hAnsi="Times New Roman" w:eastAsia="仿宋_GB2312" w:cs="Times New Roman"/>
          <w:b w:val="0"/>
          <w:bCs w:val="0"/>
          <w:color w:val="auto"/>
          <w:spacing w:val="0"/>
          <w:sz w:val="30"/>
          <w:szCs w:val="30"/>
          <w:lang w:eastAsia="zh-CN"/>
        </w:rPr>
        <w:t>，</w:t>
      </w:r>
      <w:r>
        <w:rPr>
          <w:rFonts w:hint="default" w:ascii="Times New Roman" w:hAnsi="Times New Roman" w:eastAsia="仿宋_GB2312" w:cs="Times New Roman"/>
          <w:b w:val="0"/>
          <w:bCs w:val="0"/>
          <w:color w:val="auto"/>
          <w:spacing w:val="0"/>
          <w:sz w:val="30"/>
          <w:szCs w:val="30"/>
        </w:rPr>
        <w:t>研究报告</w:t>
      </w:r>
      <w:r>
        <w:rPr>
          <w:rFonts w:hint="default" w:ascii="Times New Roman" w:hAnsi="Times New Roman" w:eastAsia="仿宋_GB2312" w:cs="Times New Roman"/>
          <w:b w:val="0"/>
          <w:bCs w:val="0"/>
          <w:color w:val="auto"/>
          <w:spacing w:val="0"/>
          <w:sz w:val="30"/>
          <w:szCs w:val="30"/>
          <w:lang w:val="en-US" w:eastAsia="zh-CN"/>
        </w:rPr>
        <w:t>1</w:t>
      </w:r>
      <w:r>
        <w:rPr>
          <w:rFonts w:hint="default" w:ascii="Times New Roman" w:hAnsi="Times New Roman" w:eastAsia="仿宋_GB2312" w:cs="Times New Roman"/>
          <w:b w:val="0"/>
          <w:bCs w:val="0"/>
          <w:color w:val="auto"/>
          <w:spacing w:val="0"/>
          <w:sz w:val="30"/>
          <w:szCs w:val="30"/>
        </w:rPr>
        <w:t>篇</w:t>
      </w:r>
      <w:r>
        <w:rPr>
          <w:rFonts w:hint="default" w:ascii="Times New Roman" w:hAnsi="Times New Roman" w:eastAsia="仿宋_GB2312" w:cs="Times New Roman"/>
          <w:b w:val="0"/>
          <w:bCs w:val="0"/>
          <w:color w:val="auto"/>
          <w:spacing w:val="0"/>
          <w:sz w:val="30"/>
          <w:szCs w:val="30"/>
          <w:lang w:val="en-US" w:eastAsia="zh-CN"/>
        </w:rPr>
        <w:t>，论文1篇，</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auto"/>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有关说明：该课题由省人大常委会预算工委组织并出具推荐函，商相关归口单位推荐上报，限推荐1项，申报经费不超过10万元。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1.25 党内制度和党风廉政建设研究</w:t>
      </w:r>
      <w:r>
        <w:rPr>
          <w:rFonts w:hint="default" w:ascii="Times New Roman" w:hAnsi="Times New Roman" w:eastAsia="仿宋_GB2312" w:cs="Times New Roman"/>
          <w:b w:val="0"/>
          <w:bCs w:val="0"/>
          <w:spacing w:val="0"/>
          <w:sz w:val="30"/>
          <w:szCs w:val="30"/>
          <w:vertAlign w:val="baseline"/>
          <w:lang w:eastAsia="zh-CN"/>
        </w:rPr>
        <w:t>课题。</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（103）面向校园廉洁文化建设的评价指数研究。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w:t>
      </w:r>
      <w:r>
        <w:rPr>
          <w:rFonts w:hint="default" w:ascii="Times New Roman" w:hAnsi="Times New Roman" w:eastAsia="仿宋_GB2312" w:cs="Times New Roman"/>
          <w:b w:val="0"/>
          <w:bCs w:val="0"/>
          <w:spacing w:val="0"/>
          <w:kern w:val="2"/>
          <w:sz w:val="30"/>
          <w:szCs w:val="30"/>
          <w:lang w:val="en-US" w:eastAsia="zh-CN" w:bidi="ar-SA"/>
        </w:rPr>
        <w:t>梳理我省高等院校廉洁文化建设现状，构建校园廉洁文化建设评价指数的指标体系和评价体系，完成校园廉洁文化建设评价指数的体系建设与计算建模，基于全省10个以上高等院校进行评价指数应用和评估。</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考核指标：政策建议1条，研究报告1篇，论文3篇，专利1项，</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w:t>
      </w:r>
      <w:r>
        <w:rPr>
          <w:rFonts w:hint="default" w:ascii="Times New Roman" w:hAnsi="Times New Roman" w:eastAsia="仿宋_GB2312" w:cs="Times New Roman"/>
          <w:b w:val="0"/>
          <w:bCs w:val="0"/>
          <w:spacing w:val="0"/>
          <w:sz w:val="30"/>
          <w:szCs w:val="30"/>
          <w:lang w:eastAsia="zh-CN"/>
        </w:rPr>
        <w:t>省纪委监委办公厅</w:t>
      </w:r>
      <w:r>
        <w:rPr>
          <w:rFonts w:hint="default" w:ascii="Times New Roman" w:hAnsi="Times New Roman" w:eastAsia="仿宋_GB2312" w:cs="Times New Roman"/>
          <w:b w:val="0"/>
          <w:bCs w:val="0"/>
          <w:spacing w:val="0"/>
          <w:sz w:val="30"/>
          <w:szCs w:val="30"/>
          <w:lang w:val="en-US" w:eastAsia="zh-CN"/>
        </w:rPr>
        <w:t>组织并出具推荐函，</w:t>
      </w:r>
      <w:r>
        <w:rPr>
          <w:rFonts w:hint="default" w:ascii="Times New Roman" w:hAnsi="Times New Roman" w:eastAsia="仿宋_GB2312" w:cs="Times New Roman"/>
          <w:b w:val="0"/>
          <w:bCs w:val="0"/>
          <w:spacing w:val="-6"/>
          <w:sz w:val="30"/>
          <w:szCs w:val="30"/>
          <w:lang w:val="en-US" w:eastAsia="zh-CN"/>
        </w:rPr>
        <w:t>商相关归口单位推荐上报，限推荐1项，申报经费不超过20万元。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（104）</w:t>
      </w:r>
      <w:r>
        <w:rPr>
          <w:rFonts w:hint="default" w:ascii="Times New Roman" w:hAnsi="Times New Roman" w:eastAsia="仿宋_GB2312" w:cs="Times New Roman"/>
          <w:b w:val="0"/>
          <w:bCs w:val="0"/>
          <w:spacing w:val="0"/>
          <w:sz w:val="30"/>
          <w:szCs w:val="30"/>
          <w:vertAlign w:val="baseline"/>
          <w:lang w:eastAsia="zh-CN"/>
        </w:rPr>
        <w:t>四川省构建理论普及工作体系机制创新和实践路径研究。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：围绕解决四川省理论宣讲“最后一公里”问题，重点开展机制创新、宣讲方式、院地合作、人才培养、政策制度等方面研究，形成推动四川省构建理论普及工作体系研究报告。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eastAsia="zh-CN"/>
        </w:rPr>
      </w:pPr>
      <w:r>
        <w:rPr>
          <w:rFonts w:hint="default" w:ascii="Times New Roman" w:hAnsi="Times New Roman" w:eastAsia="仿宋_GB2312" w:cs="Times New Roman"/>
          <w:b w:val="0"/>
          <w:bCs w:val="0"/>
          <w:spacing w:val="0"/>
          <w:sz w:val="30"/>
          <w:szCs w:val="30"/>
        </w:rPr>
        <w:t>考核指标：政策建议</w:t>
      </w: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b w:val="0"/>
          <w:bCs w:val="0"/>
          <w:spacing w:val="0"/>
          <w:sz w:val="30"/>
          <w:szCs w:val="30"/>
        </w:rPr>
        <w:t>条</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spacing w:val="0"/>
          <w:sz w:val="30"/>
          <w:szCs w:val="30"/>
        </w:rPr>
        <w:t>研究报告1篇</w:t>
      </w:r>
      <w:r>
        <w:rPr>
          <w:rFonts w:hint="default" w:ascii="Times New Roman" w:hAnsi="Times New Roman" w:eastAsia="仿宋_GB2312" w:cs="Times New Roman"/>
          <w:b w:val="0"/>
          <w:bCs w:val="0"/>
          <w:spacing w:val="0"/>
          <w:sz w:val="30"/>
          <w:szCs w:val="30"/>
          <w:lang w:eastAsia="zh-CN"/>
        </w:rPr>
        <w:t>，</w:t>
      </w:r>
      <w:r>
        <w:rPr>
          <w:rFonts w:hint="default" w:ascii="Times New Roman" w:hAnsi="Times New Roman" w:eastAsia="仿宋_GB2312" w:cs="Times New Roman"/>
          <w:b w:val="0"/>
          <w:bCs w:val="0"/>
          <w:color w:val="000000"/>
          <w:spacing w:val="0"/>
          <w:sz w:val="30"/>
          <w:szCs w:val="30"/>
          <w:lang w:val="en-US" w:eastAsia="zh-CN"/>
        </w:rPr>
        <w:t>其他1项</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color w:val="000000"/>
          <w:spacing w:val="0"/>
          <w:sz w:val="30"/>
          <w:szCs w:val="30"/>
        </w:rPr>
        <w:t>向科技厅报送1篇调研报告</w:t>
      </w:r>
      <w:r>
        <w:rPr>
          <w:rFonts w:hint="default" w:ascii="Times New Roman" w:hAnsi="Times New Roman" w:eastAsia="仿宋_GB2312" w:cs="Times New Roman"/>
          <w:b w:val="0"/>
          <w:bCs w:val="0"/>
          <w:color w:val="000000"/>
          <w:spacing w:val="0"/>
          <w:sz w:val="30"/>
          <w:szCs w:val="30"/>
          <w:lang w:eastAsia="zh-CN"/>
        </w:rPr>
        <w:t>）</w:t>
      </w:r>
      <w:r>
        <w:rPr>
          <w:rFonts w:hint="default" w:ascii="Times New Roman" w:hAnsi="Times New Roman" w:eastAsia="仿宋_GB2312" w:cs="Times New Roman"/>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有关说明：该课题由省委宣传部组织并出具推荐函，商相关归口单位推荐上报，限推荐1项，申报经费不超过10万元。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（105）</w:t>
      </w:r>
      <w:r>
        <w:rPr>
          <w:rFonts w:hint="default" w:ascii="Times New Roman" w:hAnsi="Times New Roman" w:eastAsia="仿宋_GB2312" w:cs="Times New Roman"/>
          <w:b w:val="0"/>
          <w:bCs w:val="0"/>
          <w:spacing w:val="0"/>
          <w:sz w:val="30"/>
          <w:szCs w:val="30"/>
          <w:vertAlign w:val="baseline"/>
          <w:lang w:eastAsia="zh-CN"/>
        </w:rPr>
        <w:t>新时代四川省直机关党的建设制度体系研究。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梳理省直机关党建制度建设的基本情况，分析省直机关党建制度的问题不足，研究完善省直机关党建制度体系、增强制度执行力的举措，形成构建科学规范、符合实际、务实管用、比较完善的机关党建制度体系的政策建议和研究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考核指标：政策建议1条，研究报告1篇，论文1篇，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有关说明：该课题由省直机关工委组织并出具推荐函，商相关归口单位推荐上报，限推荐1项，申报经费不超过10万元。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（106）四川机关党建工作责任制的实践探索与完善路径。</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研究内容：围绕解决我省机关党建责任制落实存在的不足，研究我省机关党建工作责任制落实现状与问题；研究四川机关党建“三级五岗”责任清单；研究四川机关党建工作责任落实实践路径；研究四川机关党建工作责任制完善。</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考核指标：政策建议2条，研究报告1篇，论文1篇，其他1项（向科技厅报送1篇调研报告）。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vertAlign w:val="baseline"/>
          <w:lang w:eastAsia="zh-CN"/>
        </w:rPr>
      </w:pPr>
      <w:r>
        <w:rPr>
          <w:rFonts w:hint="default" w:ascii="Times New Roman" w:hAnsi="Times New Roman" w:eastAsia="仿宋_GB2312" w:cs="Times New Roman"/>
          <w:b w:val="0"/>
          <w:bCs w:val="0"/>
          <w:spacing w:val="0"/>
          <w:sz w:val="30"/>
          <w:szCs w:val="30"/>
          <w:vertAlign w:val="baseline"/>
          <w:lang w:val="en-US" w:eastAsia="zh-CN"/>
        </w:rPr>
        <w:t>（107）</w:t>
      </w:r>
      <w:r>
        <w:rPr>
          <w:rFonts w:hint="default" w:ascii="Times New Roman" w:hAnsi="Times New Roman" w:eastAsia="仿宋_GB2312" w:cs="Times New Roman"/>
          <w:b w:val="0"/>
          <w:bCs w:val="0"/>
          <w:spacing w:val="0"/>
          <w:sz w:val="30"/>
          <w:szCs w:val="30"/>
          <w:vertAlign w:val="baseline"/>
          <w:lang w:eastAsia="zh-CN"/>
        </w:rPr>
        <w:t>科技创新领域两新组织党建问题研究。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研究内容</w:t>
      </w:r>
      <w:r>
        <w:rPr>
          <w:rFonts w:hint="default" w:ascii="Times New Roman" w:hAnsi="Times New Roman" w:eastAsia="仿宋_GB2312" w:cs="Times New Roman"/>
          <w:b w:val="0"/>
          <w:bCs w:val="0"/>
          <w:spacing w:val="0"/>
          <w:kern w:val="2"/>
          <w:sz w:val="30"/>
          <w:szCs w:val="30"/>
          <w:vertAlign w:val="baseline"/>
          <w:lang w:val="en-US" w:eastAsia="zh-CN" w:bidi="ar-SA"/>
        </w:rPr>
        <w:t>：开展科技创新领域两新组织行业党建特点规律、运行模式、品牌塑造等研究，形成四川省科技创新领域两新组织构建具有时代特征、行业特色、科创特点的政策建议和研究报告，为推动形成科技领域大党建工作格局提供理论和政策参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lang w:val="en-US" w:eastAsia="zh-CN" w:bidi="ar-SA"/>
        </w:rPr>
        <w:t>考核指标：政策建议2条，研究报告1篇，论文1篇，</w:t>
      </w:r>
      <w:r>
        <w:rPr>
          <w:rFonts w:hint="default" w:ascii="Times New Roman" w:hAnsi="Times New Roman" w:eastAsia="仿宋_GB2312" w:cs="Times New Roman"/>
          <w:b w:val="0"/>
          <w:bCs w:val="0"/>
          <w:color w:val="000000"/>
          <w:spacing w:val="0"/>
          <w:kern w:val="2"/>
          <w:sz w:val="30"/>
          <w:szCs w:val="30"/>
          <w:lang w:val="en-US" w:eastAsia="zh-CN" w:bidi="ar-SA"/>
        </w:rPr>
        <w:t>其他1项（向科技厅报送1篇调研报告）</w:t>
      </w:r>
      <w:r>
        <w:rPr>
          <w:rFonts w:hint="default" w:ascii="Times New Roman" w:hAnsi="Times New Roman" w:eastAsia="仿宋_GB2312" w:cs="Times New Roman"/>
          <w:b w:val="0"/>
          <w:bCs w:val="0"/>
          <w:spacing w:val="0"/>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仿宋_GB2312" w:cs="Times New Roman"/>
          <w:b w:val="0"/>
          <w:bCs w:val="0"/>
          <w:spacing w:val="0"/>
          <w:sz w:val="30"/>
          <w:szCs w:val="30"/>
          <w:lang w:val="en-US" w:eastAsia="zh-CN"/>
        </w:rPr>
        <w:t>有关说明：该课题由科技厅组织，商相关归口单位推荐上报，限推荐1项，申报经费不超过15万元。</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方正楷体_GBK" w:cs="Times New Roman"/>
          <w:b w:val="0"/>
          <w:bCs w:val="0"/>
          <w:color w:val="000000"/>
          <w:spacing w:val="0"/>
          <w:kern w:val="0"/>
          <w:sz w:val="30"/>
          <w:szCs w:val="30"/>
          <w:lang w:val="en-US" w:eastAsia="zh-CN" w:bidi="ar-SA"/>
        </w:rPr>
      </w:pPr>
      <w:r>
        <w:rPr>
          <w:rFonts w:hint="default" w:ascii="Times New Roman" w:hAnsi="Times New Roman" w:eastAsia="方正楷体_GBK" w:cs="Times New Roman"/>
          <w:b w:val="0"/>
          <w:bCs w:val="0"/>
          <w:color w:val="000000"/>
          <w:spacing w:val="0"/>
          <w:kern w:val="0"/>
          <w:sz w:val="30"/>
          <w:szCs w:val="30"/>
          <w:lang w:val="en-US" w:eastAsia="zh-CN" w:bidi="ar-SA"/>
        </w:rPr>
        <w:t>（二）决策参考类项目。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0"/>
          <w:sz w:val="30"/>
          <w:szCs w:val="30"/>
          <w:lang w:val="en-US" w:eastAsia="zh-CN" w:bidi="ar-SA"/>
        </w:rPr>
      </w:pPr>
      <w:r>
        <w:rPr>
          <w:rFonts w:hint="default" w:ascii="Times New Roman" w:hAnsi="Times New Roman" w:eastAsia="仿宋_GB2312" w:cs="Times New Roman"/>
          <w:b w:val="0"/>
          <w:bCs w:val="0"/>
          <w:color w:val="000000"/>
          <w:spacing w:val="0"/>
          <w:kern w:val="0"/>
          <w:sz w:val="30"/>
          <w:szCs w:val="30"/>
          <w:lang w:val="en-US" w:eastAsia="zh-CN" w:bidi="ar-SA"/>
        </w:rPr>
        <w:t>有关说明：项目在以下研究领域和研究方向中自由命题申报，拟定的项目名称应与申报研究方向相吻合，项目名称表述应科学严谨、规范简明</w:t>
      </w:r>
      <w:r>
        <w:rPr>
          <w:rFonts w:hint="default" w:ascii="Times New Roman" w:hAnsi="Times New Roman" w:eastAsia="仿宋_GB2312" w:cs="Times New Roman"/>
          <w:b w:val="0"/>
          <w:bCs w:val="0"/>
          <w:color w:val="000000"/>
          <w:spacing w:val="0"/>
          <w:kern w:val="2"/>
          <w:sz w:val="30"/>
          <w:szCs w:val="30"/>
          <w:lang w:val="en-US" w:eastAsia="zh-CN" w:bidi="ar-SA"/>
        </w:rPr>
        <w:t>。采取竞争立项方式组织申报</w:t>
      </w:r>
      <w:r>
        <w:rPr>
          <w:rFonts w:hint="default" w:ascii="Times New Roman" w:hAnsi="Times New Roman" w:eastAsia="仿宋_GB2312" w:cs="Times New Roman"/>
          <w:b w:val="0"/>
          <w:bCs w:val="0"/>
          <w:color w:val="000000"/>
          <w:spacing w:val="0"/>
          <w:kern w:val="0"/>
          <w:sz w:val="30"/>
          <w:szCs w:val="30"/>
          <w:lang w:val="en-US" w:eastAsia="zh-CN" w:bidi="ar-SA"/>
        </w:rPr>
        <w:t>，</w:t>
      </w:r>
      <w:r>
        <w:rPr>
          <w:rFonts w:hint="default" w:ascii="Times New Roman" w:hAnsi="Times New Roman" w:eastAsia="仿宋_GB2312" w:cs="Times New Roman"/>
          <w:b w:val="0"/>
          <w:bCs w:val="0"/>
          <w:color w:val="000000"/>
          <w:spacing w:val="0"/>
          <w:kern w:val="2"/>
          <w:sz w:val="30"/>
          <w:szCs w:val="30"/>
          <w:lang w:val="en-US" w:eastAsia="zh-CN" w:bidi="ar-SA"/>
        </w:rPr>
        <w:t>每个项目申报经费不超过5万元。</w:t>
      </w:r>
      <w:r>
        <w:rPr>
          <w:rFonts w:hint="default" w:ascii="Times New Roman" w:hAnsi="Times New Roman" w:eastAsia="仿宋_GB2312" w:cs="Times New Roman"/>
          <w:b w:val="0"/>
          <w:bCs w:val="0"/>
          <w:color w:val="000000"/>
          <w:spacing w:val="0"/>
          <w:kern w:val="0"/>
          <w:sz w:val="30"/>
          <w:szCs w:val="30"/>
          <w:lang w:val="en-US" w:eastAsia="zh-CN" w:bidi="ar-SA"/>
        </w:rPr>
        <w:t>省直有关部门或市（州）政府出具重点工作推荐函的项目可优先支持。</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2.1 区域发展战略研究。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推动成渝地区双城经济圈建设，在成德眉资同城化、一轴两翼协同联动、区域协同创新、体制机制改革、经济区与行政区适度分离改革、省域经济副中心建设、支持民族地区和革命老区发展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2.2 乡村振兴战略研究。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统筹推进乡村振兴和新型城镇化，在实施乡村建设行动、发展现代农业园区、实施种业振兴行动、做大做强“川字号”农业特色产业、打造高水平“天府粮仓”、乡村振兴重点帮扶县发展、易地搬迁后续扶持、以片区为单元的乡村国土空间规划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考核指标：政策建议2条以上（含，向县级及以上党委和政府有关部门报送政策建议），研究报告1篇以上（含），其他1项（向科技厅报送1篇调研报告）。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2.3 科技创新战略研究。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研究方向：围绕深入实施创新驱动发展战略，在构建区域科</w:t>
      </w:r>
      <w:r>
        <w:rPr>
          <w:rFonts w:hint="default" w:ascii="Times New Roman" w:hAnsi="Times New Roman" w:eastAsia="仿宋_GB2312" w:cs="Times New Roman"/>
          <w:b w:val="0"/>
          <w:bCs w:val="0"/>
          <w:spacing w:val="-6"/>
          <w:kern w:val="2"/>
          <w:sz w:val="30"/>
          <w:szCs w:val="30"/>
          <w:vertAlign w:val="baseline"/>
          <w:lang w:val="en-US" w:eastAsia="zh-CN" w:bidi="ar-SA"/>
        </w:rPr>
        <w:t>技创新体系、优化区域创新布局、建设战略科技力量、推动产业链创新链融合、完善创新驱动发展实施路径等方面选题开展研究。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宋体" w:cs="Times New Roman"/>
          <w:b w:val="0"/>
          <w:bCs w:val="0"/>
          <w:spacing w:val="0"/>
          <w:kern w:val="2"/>
          <w:sz w:val="30"/>
          <w:szCs w:val="30"/>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2.4 现代制造业发展研究。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研究方向：围绕健全现代产业体系，在实施制造强省战略、推动产业链强链补链、发展壮大特色优势产业、促进传统产业改造提升、培育大企业大集团等方面选题开展研究。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2.5 现代服务业发展研究。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研究方向：围绕加快发展现代服务业，在科技信息服务、现代物流、医疗康养服务、西部国际金融中心建设、文化旅游新地标打造、重点文旅品牌和文旅走廊建设等方面选题开展研究。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2.6 数字经济与新经济发展研究。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研究方向：围绕构筑数字经济发展高地，在壮大数字经济核心产业、打造数字经济产业集群、数字经济赋能传统产业升级、数字经济与文旅产业融合、人工智能应用于新药研发等方面选题开展研究。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2.7 经济体制改革研究。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研究方向：围绕推动经济高质量发展，在供给侧结构性改革、要素价格市场化改革、国有企业改革、激发民营经济发展活力、规范和引导各类资本健康发展等方面选题开展研究。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2.8 科技体制改革研究。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完善科技创新体制机制，在基础研究体制机制、重大科技专项组织实施、关键核心技术攻关组织模式、中试熟化平台建设、科技成果评价改革综合试点、职务科技成果权属改革、科研事业单位改革发展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2.9 科技创新政策研究。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研究方向：围绕扩大科研单位和科研人员自主权，在科研项目和经费管理、高新技术企业等创新型企业培育、金融支持创新体系建设、科研仪器设备开放共享、知识产权创造保护运用等方面选题开展研究。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2.10 区域协同创新研究。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建设具有全国影响力的科技创新中心，在强化天府新区策源功能、推进西部（成都）科学城建设、支持绵阳科技城建国家科技创新先行示范区、构建成德绵眉乐高新技术产业带、打造成渝中线科创大走廊、发展长江上游绿色低碳产业创新带、构建川渝毗邻地区融合创新发展带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2.11 科技园区发展研究。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推动高新区高质量发展，在支持高新区扩权赋能、建强高新区创新服务公共平台、优化资源配置拓展高新区物理承载空间、提升高新区产业技术创新能力、提升高新区开放合作能级、开展农业科技园区优化整合、推动可持续发展实验区发展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2.12 创新型城市（县）研究。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发挥地方主导区域创新作用，在支持区域中心城市建设区域科创中心、发展创新型城市和城市群、推进县域创新驱动发展、加强市县创新能力监测评价、支持市县创新发展政策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考核指标：政策建议2条以上（含，向县级及以上党委和政府有关部门报送政策建议），研究报告1篇以上（含），其他1项（向科技厅报送1篇调研报告）。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2.13 产学研协同创新研究。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研究方向：围绕促进产学研深度合作，在构建创新联合体、形成科技创新体集群、建设新型研发机构、深化校院地（企）合作等方面选题开展研究。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2.14 科研诚信建设研究。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研究方向：围绕营造良好创新生态，在弘扬“两弹一星”精神和“三线”精神、弘扬科学家精神、加强科学普及、培育创新创造文化、加强学风作风建设等方面选题开展研究。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2.15 人才队伍建设研究。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研究方向：围绕加快建设创新人才集聚高地，在健全科技人才评价体系、培养战略科科学家、打造科技领军人才和团队、加大青年人才支持力度、做好外专引智工作等方面选题开展研究。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2.16 创业就业政策研究。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研究方向：围绕统筹做好重点群体就业工作，在强化就业公</w:t>
      </w:r>
      <w:r>
        <w:rPr>
          <w:rFonts w:hint="default" w:ascii="Times New Roman" w:hAnsi="Times New Roman" w:eastAsia="仿宋_GB2312" w:cs="Times New Roman"/>
          <w:b w:val="0"/>
          <w:bCs w:val="0"/>
          <w:spacing w:val="-6"/>
          <w:kern w:val="2"/>
          <w:sz w:val="30"/>
          <w:szCs w:val="30"/>
          <w:vertAlign w:val="baseline"/>
          <w:lang w:val="en-US" w:eastAsia="zh-CN" w:bidi="ar-SA"/>
        </w:rPr>
        <w:t>共服务体系建设、完善创业就业扶持政策、完善收入分配制度、培育高素质劳动力、推进大众创业万众创新等方面选题开展研究</w:t>
      </w:r>
      <w:r>
        <w:rPr>
          <w:rFonts w:hint="default" w:ascii="Times New Roman" w:hAnsi="Times New Roman" w:eastAsia="仿宋_GB2312" w:cs="Times New Roman"/>
          <w:b w:val="0"/>
          <w:bCs w:val="0"/>
          <w:spacing w:val="0"/>
          <w:kern w:val="2"/>
          <w:sz w:val="30"/>
          <w:szCs w:val="30"/>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2.17 开放合作研究。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研究方向：围绕打造改革开放新高地，在西部路海新通道建设、自贸试验区和综合保税区建设、“一带一路”开放合作、重点国别国际科技合作等方面选题开展研究。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2.18 教育体制研究。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研究方向：围绕加快推进教育现代化，在推进学前教育普惠发展、促进城乡教育优质均衡发展、加快“双一流”高校建设、支持和规范民办教育发展、深化产教融合等方面选题开展研究。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考核指标：政策建议2条以上（含，向县级及以上党委和政府有关部门报送政策建议），研究报告1篇以上（含），其他1项（向科技厅报送1篇调研报告）。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2.19 公共卫生健康研究。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研究方向：围绕推进健康四川建设，在深化“三医”联动改革、构建公共卫生服务体系、常态化新冠肺炎疫情防控、做好重大传染病防治、抓好中医药传承创新、食品药品安全监管等方面选题开展研究。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考核指标：政策建议2条以上（含，向县级及以上党委和政府有关部门报送政策建议），研究报告1篇以上（含），其他1项（向科技厅报送1篇调研报告）。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2.20 社会保障体系研究。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研究方向：围绕兜紧兜牢民生保障底线，在健全社会保障体系、维护妇女儿童合法权益、坚持房住不炒等方面选题开展研究。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考核指标：政策建议2条以上（含，向县级及以上党委和政府有关部门报送政策建议），研究报告1篇以上（含），其他1项（向科技厅报送1篇调研报告）。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2.21 生态文明体制研究。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研究方向：围绕筑牢长江黄河上游生态屏障，在推进碳达峰碳中和、生态环境保护修复、健全现代环境治理体系、生态产品价值实现、川西北生态价值转化风险评价等方面选题开展研究。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考核指标：政策建议2条以上（含，向县级及以上党委和政府有关部门报送政策建议），研究报告1篇以上（含），其他1项（向科技厅报送1篇调研报告）。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2.22 先进文化和精神文明研究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研究方向：围绕加快新时代文化强省建设，在</w:t>
      </w:r>
      <w:r>
        <w:rPr>
          <w:rFonts w:hint="eastAsia" w:ascii="Times New Roman" w:hAnsi="Times New Roman" w:eastAsia="仿宋_GB2312" w:cs="Times New Roman"/>
          <w:b w:val="0"/>
          <w:bCs w:val="0"/>
          <w:spacing w:val="0"/>
          <w:kern w:val="2"/>
          <w:sz w:val="32"/>
          <w:szCs w:val="32"/>
          <w:vertAlign w:val="baseline"/>
          <w:lang w:val="en-US" w:eastAsia="zh-CN" w:bidi="ar-SA"/>
        </w:rPr>
        <w:t>加强新时代思想政治工作、</w:t>
      </w:r>
      <w:r>
        <w:rPr>
          <w:rFonts w:hint="default" w:ascii="Times New Roman" w:hAnsi="Times New Roman" w:eastAsia="仿宋_GB2312" w:cs="Times New Roman"/>
          <w:b w:val="0"/>
          <w:bCs w:val="0"/>
          <w:spacing w:val="0"/>
          <w:kern w:val="2"/>
          <w:sz w:val="30"/>
          <w:szCs w:val="30"/>
          <w:vertAlign w:val="baseline"/>
          <w:lang w:val="en-US" w:eastAsia="zh-CN" w:bidi="ar-SA"/>
        </w:rPr>
        <w:t>推进媒体深度融合、健全现代公共文化服务体系、新型公共文化空间发展、强化文化资源保护利用、深化文化体制改革、红色文化融入社区教育等方面选题开展研究。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考核指标：政策建议2条以上（含，向县级及以上党委和政府有关部门报送政策建议），研究报告1篇以上（含），其他1项（向科技厅报送1篇调研报告）。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2.23 法治政府建设研究。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研究方向：围绕全面推进法治四川建设，在重点领域和新兴领域地方立法、法治政府建设示范创建、完善现代公共法律服务体系、科技依法行政等方面选题开展研究。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考核指标：政策建议2条以上（含，向县级及以上党委和政府有关部门报送政策建议），研究报告1篇以上（含），其他1项（向科技厅报送1篇调研报告）。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2.24 社会治理体制研究。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研究方向：围绕深入推进平安四川建设，在网络安全保障体系和能力建设、城乡基层治理、科技支撑安全生产、健全应急管理体系等方面选题开展研究。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考核指标：政策建议2条以上（含，向县级及以上党委和政府有关部门报送政策建议），研究报告1篇以上（含），其他1项（向科技厅报送1篇调研报告）。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2.25 党的理论和党内制度研究。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研究方向：围绕落实新时代党的建设总要求，在学习贯彻党的二十大精神、学习党的创新理论、推动党史学习教育常态化长效化、加强党的基层组织体系建设等方面选题开展研究。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2.26 党风廉政建设研究。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spacing w:val="0"/>
          <w:kern w:val="2"/>
          <w:sz w:val="30"/>
          <w:szCs w:val="30"/>
          <w:vertAlign w:val="baseline"/>
          <w:lang w:val="en-US" w:eastAsia="zh-CN" w:bidi="ar-SA"/>
        </w:rPr>
      </w:pPr>
      <w:r>
        <w:rPr>
          <w:rFonts w:hint="default" w:ascii="Times New Roman" w:hAnsi="Times New Roman" w:eastAsia="仿宋_GB2312" w:cs="Times New Roman"/>
          <w:b w:val="0"/>
          <w:bCs w:val="0"/>
          <w:spacing w:val="0"/>
          <w:kern w:val="2"/>
          <w:sz w:val="30"/>
          <w:szCs w:val="30"/>
          <w:vertAlign w:val="baseline"/>
          <w:lang w:val="en-US" w:eastAsia="zh-CN" w:bidi="ar-SA"/>
        </w:rPr>
        <w:t>研究方向：围绕深入贯彻全面从严治党战略方针，在完善权力监督制度和执纪执法体系、提升基层监督质效、激励保护干部担当作为等方面选题开展研究。</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考核指标：政策建议1条以上（含，向市级及以上党委和政府有关部门报送政策建议），研究报告1篇以上（含），其他1项（向科技厅报送1篇调研报告）。</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黑体" w:cs="Times New Roman"/>
          <w:b w:val="0"/>
          <w:bCs w:val="0"/>
          <w:color w:val="000000"/>
          <w:spacing w:val="0"/>
          <w:kern w:val="0"/>
          <w:sz w:val="30"/>
          <w:szCs w:val="30"/>
        </w:rPr>
      </w:pPr>
      <w:r>
        <w:rPr>
          <w:rFonts w:hint="default" w:ascii="Times New Roman" w:hAnsi="Times New Roman" w:eastAsia="黑体" w:cs="Times New Roman"/>
          <w:b w:val="0"/>
          <w:bCs w:val="0"/>
          <w:color w:val="000000"/>
          <w:spacing w:val="0"/>
          <w:kern w:val="0"/>
          <w:sz w:val="30"/>
          <w:szCs w:val="30"/>
          <w:lang w:eastAsia="zh-CN"/>
        </w:rPr>
        <w:t>——</w:t>
      </w:r>
      <w:r>
        <w:rPr>
          <w:rFonts w:hint="default" w:ascii="Times New Roman" w:hAnsi="Times New Roman" w:eastAsia="黑体" w:cs="Times New Roman"/>
          <w:b w:val="0"/>
          <w:bCs w:val="0"/>
          <w:color w:val="000000"/>
          <w:spacing w:val="0"/>
          <w:kern w:val="0"/>
          <w:sz w:val="30"/>
          <w:szCs w:val="30"/>
        </w:rPr>
        <w:t>有关要求</w:t>
      </w:r>
    </w:p>
    <w:p>
      <w:pPr>
        <w:keepNext w:val="0"/>
        <w:keepLines w:val="0"/>
        <w:pageBreakBefore w:val="0"/>
        <w:widowControl w:val="0"/>
        <w:kinsoku/>
        <w:wordWrap/>
        <w:overflowPunct/>
        <w:topLinePunct w:val="0"/>
        <w:autoSpaceDE/>
        <w:autoSpaceDN/>
        <w:bidi w:val="0"/>
        <w:adjustRightInd w:val="0"/>
        <w:snapToGrid w:val="0"/>
        <w:spacing w:line="340" w:lineRule="exact"/>
        <w:ind w:firstLine="600" w:firstLineChars="200"/>
        <w:jc w:val="both"/>
        <w:textAlignment w:val="auto"/>
        <w:rPr>
          <w:rFonts w:hint="default" w:ascii="Times New Roman" w:hAnsi="Times New Roman" w:eastAsia="楷体_GB2312" w:cs="Times New Roman"/>
          <w:b w:val="0"/>
          <w:bCs w:val="0"/>
          <w:color w:val="000000"/>
          <w:spacing w:val="0"/>
          <w:kern w:val="0"/>
          <w:sz w:val="30"/>
          <w:szCs w:val="30"/>
        </w:rPr>
      </w:pPr>
      <w:r>
        <w:rPr>
          <w:rFonts w:hint="default" w:ascii="Times New Roman" w:hAnsi="Times New Roman" w:eastAsia="楷体_GB2312" w:cs="Times New Roman"/>
          <w:b w:val="0"/>
          <w:bCs w:val="0"/>
          <w:color w:val="000000"/>
          <w:spacing w:val="0"/>
          <w:kern w:val="0"/>
          <w:sz w:val="30"/>
          <w:szCs w:val="30"/>
        </w:rPr>
        <w:t>（一）申报要求。</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1.项目申报单位应是在川注册的独立法人单位，并具有完成项目所需的科研能力、组织管理和协调能力。</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2.项目申请人应熟悉省情，具有与申请项目相应的较全面的基础理论知识、工作实践经验，具备较高研究水平与组织协调能力。申请人应具有中级职称或硕士（含）以上学历。</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3.受聘于四川省内具有独立法人资格单位的境外科学家可作为项目负责人。</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4.联合申报项目需签定项目合作协议，企业单独或牵头申报项目可不用匹配自筹资金。</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楷体_GB2312" w:cs="Times New Roman"/>
          <w:b w:val="0"/>
          <w:bCs w:val="0"/>
          <w:color w:val="000000"/>
          <w:spacing w:val="0"/>
          <w:kern w:val="0"/>
          <w:sz w:val="30"/>
          <w:szCs w:val="30"/>
        </w:rPr>
      </w:pPr>
      <w:r>
        <w:rPr>
          <w:rFonts w:hint="default" w:ascii="Times New Roman" w:hAnsi="Times New Roman" w:eastAsia="楷体_GB2312" w:cs="Times New Roman"/>
          <w:b w:val="0"/>
          <w:bCs w:val="0"/>
          <w:color w:val="000000"/>
          <w:spacing w:val="0"/>
          <w:kern w:val="0"/>
          <w:sz w:val="30"/>
          <w:szCs w:val="30"/>
        </w:rPr>
        <w:t>（二）限额申报。</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6"/>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各</w:t>
      </w:r>
      <w:r>
        <w:rPr>
          <w:rFonts w:hint="default" w:ascii="Times New Roman" w:hAnsi="Times New Roman" w:eastAsia="仿宋_GB2312" w:cs="Times New Roman"/>
          <w:b w:val="0"/>
          <w:bCs w:val="0"/>
          <w:color w:val="000000"/>
          <w:spacing w:val="-6"/>
          <w:kern w:val="2"/>
          <w:sz w:val="30"/>
          <w:szCs w:val="30"/>
          <w:lang w:val="en-US" w:eastAsia="zh-CN" w:bidi="ar-SA"/>
        </w:rPr>
        <w:t>申报单位按限额申报数进行申报，限额与各承担单位科研能力和科研诚信综合情况挂钩。申报数不超过申报单位上年度立项数的2倍；上年度立项数少于3项的单位，申报数不超过5项。</w:t>
      </w:r>
    </w:p>
    <w:p>
      <w:pPr>
        <w:keepNext w:val="0"/>
        <w:keepLines w:val="0"/>
        <w:pageBreakBefore w:val="0"/>
        <w:widowControl w:val="0"/>
        <w:kinsoku/>
        <w:wordWrap/>
        <w:overflowPunct/>
        <w:topLinePunct w:val="0"/>
        <w:autoSpaceDE/>
        <w:autoSpaceDN/>
        <w:bidi w:val="0"/>
        <w:spacing w:line="340" w:lineRule="exact"/>
        <w:ind w:firstLine="600" w:firstLineChars="200"/>
        <w:jc w:val="both"/>
        <w:textAlignment w:val="auto"/>
        <w:rPr>
          <w:rFonts w:hint="default" w:ascii="Times New Roman" w:hAnsi="Times New Roman" w:eastAsia="楷体_GB2312" w:cs="Times New Roman"/>
          <w:b w:val="0"/>
          <w:bCs w:val="0"/>
          <w:color w:val="000000"/>
          <w:spacing w:val="0"/>
          <w:kern w:val="0"/>
          <w:sz w:val="30"/>
          <w:szCs w:val="30"/>
        </w:rPr>
      </w:pPr>
      <w:r>
        <w:rPr>
          <w:rFonts w:hint="default" w:ascii="Times New Roman" w:hAnsi="Times New Roman" w:eastAsia="楷体_GB2312" w:cs="Times New Roman"/>
          <w:b w:val="0"/>
          <w:bCs w:val="0"/>
          <w:color w:val="000000"/>
          <w:spacing w:val="0"/>
          <w:kern w:val="0"/>
          <w:sz w:val="30"/>
          <w:szCs w:val="30"/>
        </w:rPr>
        <w:t>（三）审核原则。</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1.项目应具有创新性、引领性和实践性。申请项目以解决实际问题、推进决策应用为导向，立足四川省情，技术路线可行，注重研究的针对性、有效性和时效性，提出具有建设性、操作性和可行性的政策建议。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2.优先支持优秀研究团队开展研究。优先支持深入一线实地调研、数据确凿、研究方法科学、分析全面深刻、操作性强且有明确成果应用部门的调研类、实证研究类项目。</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jc w:val="both"/>
        <w:textAlignment w:val="auto"/>
        <w:rPr>
          <w:rFonts w:hint="default" w:ascii="Times New Roman" w:hAnsi="Times New Roman" w:eastAsia="仿宋_GB2312" w:cs="Times New Roman"/>
          <w:b w:val="0"/>
          <w:bCs w:val="0"/>
          <w:color w:val="000000"/>
          <w:spacing w:val="0"/>
          <w:kern w:val="2"/>
          <w:sz w:val="30"/>
          <w:szCs w:val="30"/>
          <w:lang w:val="en-US" w:eastAsia="zh-CN" w:bidi="ar-SA"/>
        </w:rPr>
      </w:pPr>
      <w:r>
        <w:rPr>
          <w:rFonts w:hint="default" w:ascii="Times New Roman" w:hAnsi="Times New Roman" w:eastAsia="仿宋_GB2312" w:cs="Times New Roman"/>
          <w:b w:val="0"/>
          <w:bCs w:val="0"/>
          <w:color w:val="000000"/>
          <w:spacing w:val="0"/>
          <w:kern w:val="2"/>
          <w:sz w:val="30"/>
          <w:szCs w:val="30"/>
          <w:lang w:val="en-US" w:eastAsia="zh-CN" w:bidi="ar-SA"/>
        </w:rPr>
        <w:t>3.凡在内容上与在研或已结题的各级各类项目有较大关联的申请课题，须在申请表上详细说明所申请项目与已承担项目的联系和区别，否则视为重复申请。</w:t>
      </w:r>
    </w:p>
    <w:p>
      <w:pPr>
        <w:pStyle w:val="5"/>
        <w:pageBreakBefore w:val="0"/>
        <w:widowControl w:val="0"/>
        <w:numPr>
          <w:ilvl w:val="0"/>
          <w:numId w:val="0"/>
        </w:numPr>
        <w:kinsoku/>
        <w:wordWrap/>
        <w:bidi w:val="0"/>
        <w:spacing w:line="50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b w:val="0"/>
          <w:bCs w:val="0"/>
          <w:color w:val="000000"/>
          <w:spacing w:val="0"/>
          <w:sz w:val="32"/>
          <w:szCs w:val="32"/>
        </w:rPr>
        <w:br w:type="page"/>
      </w:r>
      <w:r>
        <w:rPr>
          <w:rFonts w:hint="default" w:ascii="Times New Roman" w:hAnsi="Times New Roman" w:eastAsia="黑体" w:cs="Times New Roman"/>
          <w:sz w:val="32"/>
          <w:szCs w:val="32"/>
          <w:lang w:val="en-US" w:eastAsia="zh-CN"/>
        </w:rPr>
        <w:t>二、科研院所改革发展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楷体_GB2312" w:cs="Times New Roman"/>
          <w:color w:val="auto"/>
          <w:sz w:val="30"/>
          <w:szCs w:val="30"/>
          <w:lang w:val="en-US" w:eastAsia="zh-CN"/>
        </w:rPr>
        <w:t xml:space="preserve">  </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rPr>
        <w:t>（该指南在线填写“四川省省级科研院所改善科研条件资金和项目申报书”“四川省省级科研院所基本科研业务费申报书”“四川省省级科研院所科技成果转化项目申报书”。</w:t>
      </w:r>
      <w:r>
        <w:rPr>
          <w:rFonts w:hint="default" w:ascii="Times New Roman" w:hAnsi="Times New Roman" w:eastAsia="楷体_GB2312" w:cs="Times New Roman"/>
          <w:sz w:val="28"/>
          <w:szCs w:val="28"/>
        </w:rPr>
        <w:t>指南咨询：</w:t>
      </w:r>
      <w:r>
        <w:rPr>
          <w:rFonts w:hint="default" w:ascii="Times New Roman" w:hAnsi="Times New Roman" w:eastAsia="楷体_GB2312" w:cs="Times New Roman"/>
          <w:sz w:val="28"/>
          <w:szCs w:val="28"/>
          <w:lang w:eastAsia="zh-CN"/>
        </w:rPr>
        <w:t>罗实军</w:t>
      </w:r>
      <w:r>
        <w:rPr>
          <w:rFonts w:hint="eastAsia" w:ascii="Times New Roman" w:hAnsi="Times New Roman" w:eastAsia="楷体_GB2312" w:cs="Times New Roman"/>
          <w:sz w:val="28"/>
          <w:szCs w:val="28"/>
          <w:lang w:eastAsia="zh-CN"/>
        </w:rPr>
        <w:t>，</w:t>
      </w:r>
      <w:r>
        <w:rPr>
          <w:rFonts w:hint="default" w:ascii="Times New Roman" w:hAnsi="Times New Roman" w:eastAsia="楷体_GB2312" w:cs="Times New Roman"/>
          <w:sz w:val="28"/>
          <w:szCs w:val="28"/>
        </w:rPr>
        <w:t>028-86</w:t>
      </w:r>
      <w:r>
        <w:rPr>
          <w:rFonts w:hint="default" w:ascii="Times New Roman" w:hAnsi="Times New Roman" w:eastAsia="楷体_GB2312" w:cs="Times New Roman"/>
          <w:sz w:val="28"/>
          <w:szCs w:val="28"/>
          <w:lang w:val="en-US" w:eastAsia="zh-CN"/>
        </w:rPr>
        <w:t>719619</w:t>
      </w:r>
      <w:r>
        <w:rPr>
          <w:rFonts w:hint="default" w:ascii="Times New Roman" w:hAnsi="Times New Roman" w:eastAsia="楷体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lang w:eastAsia="zh-CN"/>
        </w:rPr>
        <w:t>——</w:t>
      </w:r>
      <w:r>
        <w:rPr>
          <w:rFonts w:hint="default" w:ascii="Times New Roman" w:hAnsi="Times New Roman" w:eastAsia="黑体" w:cs="Times New Roman"/>
          <w:color w:val="auto"/>
          <w:sz w:val="30"/>
          <w:szCs w:val="30"/>
        </w:rPr>
        <w:t>总体绩效目标</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推动科研院所改革发展，改善科研建设条件，培育壮大人才队伍，加速科技成果转化，充分发挥科研院所在创新体系中的骨干和引领作用，实现一定的经济和社会效益。</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lang w:eastAsia="zh-CN"/>
        </w:rPr>
        <w:t>——</w:t>
      </w:r>
      <w:r>
        <w:rPr>
          <w:rFonts w:hint="default" w:ascii="Times New Roman" w:hAnsi="Times New Roman" w:eastAsia="黑体" w:cs="Times New Roman"/>
          <w:color w:val="auto"/>
          <w:sz w:val="30"/>
          <w:szCs w:val="30"/>
        </w:rPr>
        <w:t>资金支持方式和支持经费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（一）专项资金采取前补助支持方式。</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（二）科研院所改革发展项目包括省级科研院所改善科研条件资金和项目、省级科研院所基本科研业务费和省级科研院所科技成果转化项目。科研院所改革发展项目支持范围见附件。</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 四川省省级科研院所改善科研条件资金和项目。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省级科研院所改善科研条件资金和项目由申报单位据实申报，根据轻重缓急按需支持。</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2.省级科研院所基本科研业务费。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省级科研院所基本科研业务费，根据科研院所科研人员数和1978年1月1日后出生的科研人员数、项目管理绩效、科研投入等情况，结合年度专项资金总额，采用因素法确定资金分配方案。首先提取10%左右的金额，用于奖补科研投入，再根据申报单位科技人员数、45岁及以下科技人员数分别按35%和55%进行分配，每个单位最低支持5万元</w:t>
      </w:r>
      <w:r>
        <w:rPr>
          <w:rFonts w:hint="default" w:ascii="Times New Roman" w:hAnsi="Times New Roman" w:eastAsia="仿宋_GB2312" w:cs="Times New Roman"/>
          <w:color w:val="auto"/>
          <w:sz w:val="30"/>
          <w:szCs w:val="30"/>
          <w:u w:val="none"/>
          <w:lang w:val="en"/>
        </w:rPr>
        <w:t>(</w:t>
      </w:r>
      <w:r>
        <w:rPr>
          <w:rFonts w:hint="default" w:ascii="Times New Roman" w:hAnsi="Times New Roman" w:eastAsia="仿宋_GB2312" w:cs="Times New Roman"/>
          <w:color w:val="auto"/>
          <w:sz w:val="30"/>
          <w:szCs w:val="30"/>
          <w:u w:val="none"/>
          <w:lang w:val="en" w:eastAsia="zh-CN"/>
        </w:rPr>
        <w:t>不足</w:t>
      </w:r>
      <w:r>
        <w:rPr>
          <w:rFonts w:hint="default" w:ascii="Times New Roman" w:hAnsi="Times New Roman" w:eastAsia="仿宋_GB2312" w:cs="Times New Roman"/>
          <w:color w:val="auto"/>
          <w:sz w:val="30"/>
          <w:szCs w:val="30"/>
          <w:u w:val="none"/>
          <w:lang w:val="en-US" w:eastAsia="zh-CN"/>
        </w:rPr>
        <w:t>5万元，按5万元进行支持</w:t>
      </w:r>
      <w:r>
        <w:rPr>
          <w:rFonts w:hint="default" w:ascii="Times New Roman" w:hAnsi="Times New Roman" w:eastAsia="仿宋_GB2312" w:cs="Times New Roman"/>
          <w:color w:val="auto"/>
          <w:sz w:val="30"/>
          <w:szCs w:val="30"/>
          <w:u w:val="none"/>
          <w:lang w:val="en"/>
        </w:rPr>
        <w:t>)</w:t>
      </w:r>
      <w:r>
        <w:rPr>
          <w:rFonts w:hint="default" w:ascii="Times New Roman" w:hAnsi="Times New Roman" w:eastAsia="仿宋_GB2312" w:cs="Times New Roman"/>
          <w:color w:val="auto"/>
          <w:sz w:val="30"/>
          <w:szCs w:val="30"/>
        </w:rPr>
        <w:t>，最高支持150万元。由院所自主确定项目并进行全流程管理。</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3.省级科研院所科技成果转化项目。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省级科研院所科技成果转化项目，根据科技成果的技术水平、成熟度、市场前景等</w:t>
      </w:r>
      <w:r>
        <w:rPr>
          <w:rFonts w:hint="default" w:ascii="Times New Roman" w:hAnsi="Times New Roman" w:eastAsia="仿宋_GB2312" w:cs="Times New Roman"/>
          <w:color w:val="auto"/>
          <w:sz w:val="30"/>
          <w:szCs w:val="30"/>
          <w:lang w:eastAsia="zh-CN"/>
        </w:rPr>
        <w:t>因素，</w:t>
      </w:r>
      <w:r>
        <w:rPr>
          <w:rFonts w:hint="default" w:ascii="Times New Roman" w:hAnsi="Times New Roman" w:eastAsia="仿宋_GB2312" w:cs="Times New Roman"/>
          <w:color w:val="auto"/>
          <w:sz w:val="30"/>
          <w:szCs w:val="30"/>
        </w:rPr>
        <w:t>按照重点、面上项目进行分类支持，分别支持经费100万元、50万元。</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color w:val="auto"/>
          <w:sz w:val="30"/>
          <w:szCs w:val="30"/>
        </w:rPr>
      </w:pPr>
      <w:r>
        <w:rPr>
          <w:rFonts w:hint="default" w:ascii="Times New Roman" w:hAnsi="Times New Roman" w:eastAsia="仿宋_GB2312" w:cs="Times New Roman"/>
          <w:color w:val="auto"/>
          <w:sz w:val="30"/>
          <w:szCs w:val="30"/>
        </w:rPr>
        <w:t>（三）本专项对申报单位匹配自筹资金无强制要求。</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lang w:eastAsia="zh-CN"/>
        </w:rPr>
        <w:t>——</w:t>
      </w:r>
      <w:r>
        <w:rPr>
          <w:rFonts w:hint="default" w:ascii="Times New Roman" w:hAnsi="Times New Roman" w:eastAsia="黑体" w:cs="Times New Roman"/>
          <w:color w:val="auto"/>
          <w:sz w:val="30"/>
          <w:szCs w:val="30"/>
        </w:rPr>
        <w:t>实施周期</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省级科研院所改善科研条件资金和项目实施周期1年，2023年1月至2023年12月。</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省级科研院所基本科研业务费项目实施周期由承担单位根据实际情况自行确定。</w:t>
      </w:r>
    </w:p>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auto"/>
          <w:sz w:val="30"/>
          <w:szCs w:val="30"/>
        </w:rPr>
        <w:t>省级科研院所科技成果转化项目实施周期1—2年，</w:t>
      </w:r>
      <w:r>
        <w:rPr>
          <w:rFonts w:hint="default" w:ascii="Times New Roman" w:hAnsi="Times New Roman" w:eastAsia="仿宋_GB2312" w:cs="Times New Roman"/>
          <w:color w:val="000000"/>
          <w:kern w:val="0"/>
          <w:sz w:val="30"/>
          <w:szCs w:val="30"/>
        </w:rPr>
        <w:t>自202</w:t>
      </w:r>
      <w:r>
        <w:rPr>
          <w:rFonts w:hint="default" w:ascii="Times New Roman" w:hAnsi="Times New Roman" w:eastAsia="仿宋_GB2312" w:cs="Times New Roman"/>
          <w:color w:val="000000"/>
          <w:kern w:val="0"/>
          <w:sz w:val="30"/>
          <w:szCs w:val="30"/>
          <w:lang w:val="en-US" w:eastAsia="zh-CN"/>
        </w:rPr>
        <w:t>3</w:t>
      </w:r>
      <w:r>
        <w:rPr>
          <w:rFonts w:hint="default" w:ascii="Times New Roman" w:hAnsi="Times New Roman" w:eastAsia="仿宋_GB2312" w:cs="Times New Roman"/>
          <w:color w:val="000000"/>
          <w:kern w:val="0"/>
          <w:sz w:val="30"/>
          <w:szCs w:val="30"/>
        </w:rPr>
        <w:t>年</w:t>
      </w:r>
      <w:r>
        <w:rPr>
          <w:rFonts w:hint="default" w:ascii="Times New Roman" w:hAnsi="Times New Roman" w:eastAsia="仿宋_GB2312" w:cs="Times New Roman"/>
          <w:color w:val="000000"/>
          <w:kern w:val="0"/>
          <w:sz w:val="30"/>
          <w:szCs w:val="30"/>
          <w:lang w:val="en-US" w:eastAsia="zh-CN"/>
        </w:rPr>
        <w:t>1</w:t>
      </w:r>
      <w:r>
        <w:rPr>
          <w:rFonts w:hint="default" w:ascii="Times New Roman" w:hAnsi="Times New Roman" w:eastAsia="仿宋_GB2312" w:cs="Times New Roman"/>
          <w:color w:val="000000"/>
          <w:kern w:val="0"/>
          <w:sz w:val="30"/>
          <w:szCs w:val="30"/>
        </w:rPr>
        <w:t>月</w:t>
      </w:r>
      <w:r>
        <w:rPr>
          <w:rFonts w:hint="default" w:ascii="Times New Roman" w:hAnsi="Times New Roman" w:eastAsia="仿宋_GB2312" w:cs="Times New Roman"/>
          <w:color w:val="000000"/>
          <w:kern w:val="0"/>
          <w:sz w:val="30"/>
          <w:szCs w:val="30"/>
          <w:lang w:val="en-US" w:eastAsia="zh-CN"/>
        </w:rPr>
        <w:t>1日</w:t>
      </w:r>
      <w:r>
        <w:rPr>
          <w:rFonts w:hint="default" w:ascii="Times New Roman" w:hAnsi="Times New Roman" w:eastAsia="仿宋_GB2312" w:cs="Times New Roman"/>
          <w:color w:val="000000"/>
          <w:kern w:val="0"/>
          <w:sz w:val="30"/>
          <w:szCs w:val="30"/>
        </w:rPr>
        <w:t>起。</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lang w:eastAsia="zh-CN"/>
        </w:rPr>
        <w:t>——</w:t>
      </w:r>
      <w:r>
        <w:rPr>
          <w:rFonts w:hint="default" w:ascii="Times New Roman" w:hAnsi="Times New Roman" w:eastAsia="黑体" w:cs="Times New Roman"/>
          <w:color w:val="auto"/>
          <w:sz w:val="30"/>
          <w:szCs w:val="30"/>
        </w:rPr>
        <w:t>支持方向和重点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（一）</w:t>
      </w:r>
      <w:r>
        <w:rPr>
          <w:rFonts w:hint="default" w:ascii="Times New Roman" w:hAnsi="Times New Roman" w:eastAsia="仿宋_GB2312" w:cs="Times New Roman"/>
          <w:color w:val="auto"/>
          <w:sz w:val="30"/>
          <w:szCs w:val="30"/>
        </w:rPr>
        <w:t>省级科研院所改善科研条件资金和项目</w:t>
      </w:r>
      <w:r>
        <w:rPr>
          <w:rFonts w:hint="default" w:ascii="Times New Roman" w:hAnsi="Times New Roman" w:eastAsia="楷体_GB2312"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1.连续使用15年以上、且已不能适应科研工作需要的科研用房及科研辅助设施的维修改造。高湿、高寒、高海拔等特殊条件下的科研用房及科研辅助设施，可适当放宽</w:t>
      </w:r>
      <w:r>
        <w:rPr>
          <w:rFonts w:hint="default" w:ascii="Times New Roman" w:hAnsi="Times New Roman" w:eastAsia="仿宋_GB2312" w:cs="Times New Roman"/>
          <w:color w:val="auto"/>
          <w:sz w:val="30"/>
          <w:szCs w:val="30"/>
          <w:lang w:eastAsia="zh-CN"/>
        </w:rPr>
        <w:t>使用</w:t>
      </w:r>
      <w:r>
        <w:rPr>
          <w:rFonts w:hint="default" w:ascii="Times New Roman" w:hAnsi="Times New Roman" w:eastAsia="仿宋_GB2312" w:cs="Times New Roman"/>
          <w:color w:val="auto"/>
          <w:sz w:val="30"/>
          <w:szCs w:val="30"/>
        </w:rPr>
        <w:t>年限。</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2.水、暖、电、气及环境保护等基础设施的维修改造。</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3.直接为科学研究工作服务的科学仪器设备、文献资料（含电子图书等）购置。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4.利用成熟技术，自主研制用于科研的仪器设备，或对尚有较好利用价值、直接服务于科学研究的仪器设备所进行的功能扩展、技术升级等。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5.信息网络建设、安全隐患排查和整治等其他工作。</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（二）省级科研院所基本科研业务费。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1.由科研院所自主选题开展的科研工作；</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2.所属行业基础性、支撑性、应急性科研工作；</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3.团队建设及年轻人才培养；</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4.开展国际科技合作与交流；</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5.科技基础性工作等其他工作。</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（三）省级科研院所科技成果转化项目。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围绕省委省政府重点工作，聚焦现代产业体系建设、民生社会发展等重点领域，择优支持技术水平先进、投资科学合理、具有市场前景、经济及社会效益较好、成熟度较高的技术成果实施转化。</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lang w:eastAsia="zh-CN"/>
        </w:rPr>
        <w:t>——</w:t>
      </w:r>
      <w:r>
        <w:rPr>
          <w:rFonts w:hint="default" w:ascii="Times New Roman" w:hAnsi="Times New Roman" w:eastAsia="黑体" w:cs="Times New Roman"/>
          <w:color w:val="auto"/>
          <w:sz w:val="30"/>
          <w:szCs w:val="30"/>
        </w:rPr>
        <w:t>有关要求</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color w:val="auto"/>
          <w:sz w:val="30"/>
          <w:szCs w:val="30"/>
        </w:rPr>
      </w:pPr>
      <w:r>
        <w:rPr>
          <w:rFonts w:hint="default" w:ascii="Times New Roman" w:hAnsi="Times New Roman" w:eastAsia="仿宋_GB2312" w:cs="Times New Roman"/>
          <w:color w:val="auto"/>
          <w:sz w:val="30"/>
          <w:szCs w:val="30"/>
        </w:rPr>
        <w:t>科研院所改革发展项目申报单位提出的绩效目标应当明确，包括但不限于突破技术瓶颈，解决“卡脖子”技术、关键技术问题，获得（申请）发明专利、实用新型专利，培养、引进人才和团队，项目产品实现销售收入，</w:t>
      </w:r>
      <w:r>
        <w:rPr>
          <w:rFonts w:hint="default" w:ascii="Times New Roman" w:hAnsi="Times New Roman" w:eastAsia="仿宋_GB2312" w:cs="Times New Roman"/>
          <w:color w:val="auto"/>
          <w:sz w:val="30"/>
          <w:szCs w:val="30"/>
          <w:lang w:eastAsia="zh-CN"/>
        </w:rPr>
        <w:t>乡村振兴</w:t>
      </w:r>
      <w:r>
        <w:rPr>
          <w:rFonts w:hint="default" w:ascii="Times New Roman" w:hAnsi="Times New Roman" w:eastAsia="仿宋_GB2312" w:cs="Times New Roman"/>
          <w:color w:val="auto"/>
          <w:sz w:val="30"/>
          <w:szCs w:val="30"/>
          <w:u w:val="none"/>
        </w:rPr>
        <w:t>目标</w:t>
      </w:r>
      <w:r>
        <w:rPr>
          <w:rFonts w:hint="default" w:ascii="Times New Roman" w:hAnsi="Times New Roman" w:eastAsia="仿宋_GB2312" w:cs="Times New Roman"/>
          <w:color w:val="auto"/>
          <w:sz w:val="30"/>
          <w:szCs w:val="30"/>
          <w:lang w:eastAsia="zh-CN"/>
        </w:rPr>
        <w:t>及</w:t>
      </w:r>
      <w:r>
        <w:rPr>
          <w:rFonts w:hint="default" w:ascii="Times New Roman" w:hAnsi="Times New Roman" w:eastAsia="仿宋_GB2312" w:cs="Times New Roman"/>
          <w:color w:val="auto"/>
          <w:sz w:val="30"/>
          <w:szCs w:val="30"/>
        </w:rPr>
        <w:t>其他经济社会效益目标等。</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（一）省级科研院所改善科研条件资金和项目。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1.申报单位用单位账号登陆，在线填写《省级科研院所改善科研条件资金和项目申报书》。</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2.申报单位提前做好项目可行性研究及必要的勘察、设计、论证、询价等前期工作。申报50万</w:t>
      </w:r>
      <w:r>
        <w:rPr>
          <w:rFonts w:hint="default" w:ascii="Times New Roman" w:hAnsi="Times New Roman" w:eastAsia="仿宋_GB2312" w:cs="Times New Roman"/>
          <w:color w:val="auto"/>
          <w:sz w:val="30"/>
          <w:szCs w:val="30"/>
          <w:lang w:eastAsia="zh-CN"/>
        </w:rPr>
        <w:t>元</w:t>
      </w:r>
      <w:r>
        <w:rPr>
          <w:rFonts w:hint="default" w:ascii="Times New Roman" w:hAnsi="Times New Roman" w:eastAsia="仿宋_GB2312" w:cs="Times New Roman"/>
          <w:color w:val="auto"/>
          <w:sz w:val="30"/>
          <w:szCs w:val="30"/>
        </w:rPr>
        <w:t>（含）以上维修改造、信息网络建设、单台（套）价格50万</w:t>
      </w:r>
      <w:r>
        <w:rPr>
          <w:rFonts w:hint="default" w:ascii="Times New Roman" w:hAnsi="Times New Roman" w:eastAsia="仿宋_GB2312" w:cs="Times New Roman"/>
          <w:color w:val="auto"/>
          <w:sz w:val="30"/>
          <w:szCs w:val="30"/>
          <w:lang w:eastAsia="zh-CN"/>
        </w:rPr>
        <w:t>元</w:t>
      </w:r>
      <w:r>
        <w:rPr>
          <w:rFonts w:hint="default" w:ascii="Times New Roman" w:hAnsi="Times New Roman" w:eastAsia="仿宋_GB2312" w:cs="Times New Roman"/>
          <w:color w:val="auto"/>
          <w:sz w:val="30"/>
          <w:szCs w:val="30"/>
        </w:rPr>
        <w:t>（含）以上仪器设备购置等</w:t>
      </w:r>
      <w:r>
        <w:rPr>
          <w:rFonts w:hint="default" w:ascii="Times New Roman" w:hAnsi="Times New Roman" w:eastAsia="仿宋_GB2312" w:cs="Times New Roman"/>
          <w:color w:val="auto"/>
          <w:sz w:val="30"/>
          <w:szCs w:val="30"/>
          <w:lang w:eastAsia="zh-CN"/>
        </w:rPr>
        <w:t>项目</w:t>
      </w:r>
      <w:r>
        <w:rPr>
          <w:rFonts w:hint="default" w:ascii="Times New Roman" w:hAnsi="Times New Roman" w:eastAsia="仿宋_GB2312" w:cs="Times New Roman"/>
          <w:color w:val="auto"/>
          <w:sz w:val="30"/>
          <w:szCs w:val="30"/>
        </w:rPr>
        <w:t>需报送可行性论证报告。</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3.每个单位限报</w:t>
      </w:r>
      <w:r>
        <w:rPr>
          <w:rFonts w:hint="default"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rPr>
        <w:t>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color w:val="auto"/>
          <w:sz w:val="30"/>
          <w:szCs w:val="30"/>
          <w:lang w:val="en-US" w:eastAsia="zh-CN"/>
        </w:rPr>
      </w:pPr>
      <w:r>
        <w:rPr>
          <w:rFonts w:hint="default" w:ascii="Times New Roman" w:hAnsi="Times New Roman" w:eastAsia="仿宋_GB2312" w:cs="Times New Roman"/>
          <w:color w:val="auto"/>
          <w:sz w:val="30"/>
          <w:szCs w:val="30"/>
        </w:rPr>
        <w:t>4.申报单位要提出明确的绩效目标，资金使用对科学研究和技术服务能力的提升作用，</w:t>
      </w:r>
      <w:r>
        <w:rPr>
          <w:rFonts w:hint="default" w:ascii="Times New Roman" w:hAnsi="Times New Roman" w:eastAsia="仿宋_GB2312" w:cs="Times New Roman"/>
          <w:color w:val="auto"/>
          <w:sz w:val="30"/>
          <w:szCs w:val="30"/>
          <w:lang w:eastAsia="zh-CN"/>
        </w:rPr>
        <w:t>项目实施</w:t>
      </w:r>
      <w:r>
        <w:rPr>
          <w:rFonts w:hint="default" w:ascii="Times New Roman" w:hAnsi="Times New Roman" w:eastAsia="仿宋_GB2312" w:cs="Times New Roman"/>
          <w:color w:val="auto"/>
          <w:sz w:val="30"/>
          <w:szCs w:val="30"/>
        </w:rPr>
        <w:t>产生的经济和社会效益。</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（二）省级科研院所基本科研业务费。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1.申报单位用单位账号登陆，在线填写《四川省省级科研院所基本科研业务费申报书》。</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2.省级科研院所基本科研业务费项目负责人应为1978年1月1日后出生。</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3.本年度省级科研院所基本科研业务费应在2023年3月底之前完成立项安排。</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4.申报单位要提出明确的绩效目标，资金使用对本单位或本领域科技创新和人才培养的作用。</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u w:val="single"/>
          <w:lang w:val="en-US" w:eastAsia="zh-CN"/>
        </w:rPr>
      </w:pPr>
      <w:r>
        <w:rPr>
          <w:rFonts w:hint="default" w:ascii="Times New Roman" w:hAnsi="Times New Roman" w:eastAsia="楷体_GB2312" w:cs="Times New Roman"/>
          <w:color w:val="auto"/>
          <w:sz w:val="30"/>
          <w:szCs w:val="30"/>
          <w:u w:val="none"/>
          <w:lang w:val="en-US" w:eastAsia="zh-CN"/>
        </w:rPr>
        <w:t>5.</w:t>
      </w:r>
      <w:r>
        <w:rPr>
          <w:rFonts w:hint="default" w:ascii="Times New Roman" w:hAnsi="Times New Roman" w:eastAsia="仿宋_GB2312" w:cs="Times New Roman"/>
          <w:color w:val="auto"/>
          <w:sz w:val="30"/>
          <w:szCs w:val="30"/>
          <w:u w:val="none"/>
        </w:rPr>
        <w:t>省级科研院所基本科研业务费</w:t>
      </w:r>
      <w:r>
        <w:rPr>
          <w:rFonts w:hint="default" w:ascii="Times New Roman" w:hAnsi="Times New Roman" w:eastAsia="仿宋_GB2312" w:cs="Times New Roman"/>
          <w:color w:val="auto"/>
          <w:sz w:val="30"/>
          <w:szCs w:val="30"/>
          <w:u w:val="none"/>
          <w:lang w:eastAsia="zh-CN"/>
        </w:rPr>
        <w:t>采用因素分配法分配。</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color w:val="auto"/>
          <w:sz w:val="30"/>
          <w:szCs w:val="30"/>
        </w:rPr>
      </w:pPr>
      <w:r>
        <w:rPr>
          <w:rFonts w:hint="default" w:ascii="Times New Roman" w:hAnsi="Times New Roman" w:eastAsia="楷体_GB2312" w:cs="Times New Roman"/>
          <w:color w:val="auto"/>
          <w:sz w:val="30"/>
          <w:szCs w:val="30"/>
        </w:rPr>
        <w:t>（三）省级科研院所科技成果转化项目。</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1.申报人在线填写《四川省省级科研院所科技成果转化项目申报书》。</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2.每个单位申报项目不超过2项。</w:t>
      </w:r>
    </w:p>
    <w:p>
      <w:pPr>
        <w:keepNext w:val="0"/>
        <w:keepLines w:val="0"/>
        <w:pageBreakBefore w:val="0"/>
        <w:widowControl w:val="0"/>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3.申报单位要提出明确的绩效目标，项目实施产生的经济和社会效益。</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30"/>
          <w:szCs w:val="30"/>
        </w:rPr>
      </w:pPr>
    </w:p>
    <w:p>
      <w:pPr>
        <w:keepNext w:val="0"/>
        <w:keepLines w:val="0"/>
        <w:pageBreakBefore w:val="0"/>
        <w:widowControl w:val="0"/>
        <w:tabs>
          <w:tab w:val="left" w:pos="2410"/>
        </w:tabs>
        <w:kinsoku/>
        <w:wordWrap/>
        <w:overflowPunct/>
        <w:topLinePunct w:val="0"/>
        <w:autoSpaceDE/>
        <w:autoSpaceDN/>
        <w:bidi w:val="0"/>
        <w:adjustRightInd/>
        <w:snapToGrid/>
        <w:spacing w:line="360" w:lineRule="exact"/>
        <w:ind w:left="2220" w:leftChars="200" w:hanging="1800" w:hangingChars="6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附</w:t>
      </w:r>
      <w:r>
        <w:rPr>
          <w:rFonts w:hint="default" w:ascii="Times New Roman" w:hAnsi="Times New Roman" w:eastAsia="仿宋_GB2312" w:cs="Times New Roman"/>
          <w:color w:val="auto"/>
          <w:sz w:val="30"/>
          <w:szCs w:val="30"/>
          <w:lang w:eastAsia="zh-CN"/>
        </w:rPr>
        <w:t>件</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color w:val="auto"/>
          <w:sz w:val="30"/>
          <w:szCs w:val="30"/>
          <w:lang w:val="en-US" w:eastAsia="zh-CN"/>
        </w:rPr>
        <w:t>4-2-</w:t>
      </w:r>
      <w:r>
        <w:rPr>
          <w:rFonts w:hint="default" w:ascii="Times New Roman" w:hAnsi="Times New Roman" w:eastAsia="仿宋_GB2312" w:cs="Times New Roman"/>
          <w:color w:val="auto"/>
          <w:sz w:val="30"/>
          <w:szCs w:val="30"/>
        </w:rPr>
        <w:t>1.省级科研院所改善科研条件资金和项目申报单位名单</w:t>
      </w:r>
    </w:p>
    <w:p>
      <w:pPr>
        <w:keepNext w:val="0"/>
        <w:keepLines w:val="0"/>
        <w:pageBreakBefore w:val="0"/>
        <w:widowControl w:val="0"/>
        <w:tabs>
          <w:tab w:val="left" w:pos="2410"/>
        </w:tabs>
        <w:kinsoku/>
        <w:wordWrap/>
        <w:overflowPunct/>
        <w:topLinePunct w:val="0"/>
        <w:autoSpaceDE/>
        <w:autoSpaceDN/>
        <w:bidi w:val="0"/>
        <w:adjustRightInd/>
        <w:snapToGrid/>
        <w:spacing w:line="360" w:lineRule="exact"/>
        <w:ind w:left="0" w:leftChars="0" w:firstLine="1560" w:firstLineChars="520"/>
        <w:jc w:val="both"/>
        <w:textAlignment w:val="auto"/>
        <w:rPr>
          <w:rFonts w:hint="default" w:ascii="Times New Roman" w:hAnsi="Times New Roman" w:eastAsia="仿宋_GB2312" w:cs="Times New Roman"/>
          <w:color w:val="auto"/>
          <w:spacing w:val="-6"/>
          <w:sz w:val="30"/>
          <w:szCs w:val="30"/>
        </w:rPr>
      </w:pPr>
      <w:r>
        <w:rPr>
          <w:rFonts w:hint="default" w:ascii="Times New Roman" w:hAnsi="Times New Roman" w:eastAsia="仿宋_GB2312" w:cs="Times New Roman"/>
          <w:color w:val="auto"/>
          <w:sz w:val="30"/>
          <w:szCs w:val="30"/>
          <w:lang w:val="en-US" w:eastAsia="zh-CN"/>
        </w:rPr>
        <w:t>4-</w:t>
      </w:r>
      <w:r>
        <w:rPr>
          <w:rFonts w:hint="default" w:ascii="Times New Roman" w:hAnsi="Times New Roman" w:eastAsia="仿宋_GB2312" w:cs="Times New Roman"/>
          <w:color w:val="auto"/>
          <w:sz w:val="30"/>
          <w:szCs w:val="30"/>
        </w:rPr>
        <w:t>2</w:t>
      </w:r>
      <w:r>
        <w:rPr>
          <w:rFonts w:hint="default"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rPr>
        <w:t>.</w:t>
      </w:r>
      <w:r>
        <w:rPr>
          <w:rFonts w:hint="default" w:ascii="Times New Roman" w:hAnsi="Times New Roman" w:eastAsia="仿宋_GB2312" w:cs="Times New Roman"/>
          <w:color w:val="auto"/>
          <w:spacing w:val="-6"/>
          <w:sz w:val="30"/>
          <w:szCs w:val="30"/>
        </w:rPr>
        <w:t>省级科研院所基本科研业务费申报单位名单</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1560" w:firstLineChars="52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lang w:val="en-US" w:eastAsia="zh-CN"/>
        </w:rPr>
        <w:t>4-2-</w:t>
      </w:r>
      <w:r>
        <w:rPr>
          <w:rFonts w:hint="default" w:ascii="Times New Roman" w:hAnsi="Times New Roman" w:eastAsia="仿宋_GB2312" w:cs="Times New Roman"/>
          <w:color w:val="auto"/>
          <w:sz w:val="30"/>
          <w:szCs w:val="30"/>
        </w:rPr>
        <w:t>3.</w:t>
      </w:r>
      <w:r>
        <w:rPr>
          <w:rFonts w:hint="default" w:ascii="Times New Roman" w:hAnsi="Times New Roman" w:eastAsia="仿宋_GB2312" w:cs="Times New Roman"/>
          <w:color w:val="auto"/>
          <w:spacing w:val="-11"/>
          <w:sz w:val="30"/>
          <w:szCs w:val="30"/>
        </w:rPr>
        <w:t>省级科研院所科技成果转化项目申报单位名单</w:t>
      </w:r>
    </w:p>
    <w:p>
      <w:pPr>
        <w:pageBreakBefore w:val="0"/>
        <w:widowControl/>
        <w:kinsoku/>
        <w:wordWrap/>
        <w:bidi w:val="0"/>
        <w:spacing w:line="500" w:lineRule="exact"/>
        <w:ind w:firstLine="1440" w:firstLineChars="450"/>
        <w:jc w:val="left"/>
        <w:rPr>
          <w:rFonts w:hint="default" w:ascii="Times New Roman" w:hAnsi="Times New Roman" w:eastAsia="仿宋_GB2312" w:cs="Times New Roman"/>
          <w:color w:val="auto"/>
          <w:sz w:val="32"/>
          <w:szCs w:val="32"/>
        </w:rPr>
      </w:pPr>
    </w:p>
    <w:p>
      <w:pPr>
        <w:pStyle w:val="7"/>
        <w:widowControl/>
        <w:jc w:val="left"/>
        <w:rPr>
          <w:rFonts w:hint="default" w:ascii="Times New Roman" w:hAnsi="Times New Roman" w:eastAsia="仿宋_GB2312" w:cs="Times New Roman"/>
          <w:color w:val="auto"/>
          <w:sz w:val="32"/>
          <w:szCs w:val="32"/>
        </w:rPr>
      </w:pPr>
    </w:p>
    <w:p>
      <w:pPr>
        <w:pStyle w:val="7"/>
        <w:rPr>
          <w:rFonts w:hint="default" w:ascii="Times New Roman" w:hAnsi="Times New Roman" w:eastAsia="仿宋_GB2312" w:cs="Times New Roman"/>
          <w:color w:val="auto"/>
          <w:sz w:val="32"/>
          <w:szCs w:val="32"/>
        </w:rPr>
        <w:sectPr>
          <w:footerReference r:id="rId3" w:type="default"/>
          <w:pgSz w:w="11906" w:h="16838"/>
          <w:pgMar w:top="2098" w:right="1474" w:bottom="1985" w:left="1588" w:header="851" w:footer="992" w:gutter="0"/>
          <w:pgNumType w:fmt="decimal"/>
          <w:cols w:space="720" w:num="1"/>
          <w:docGrid w:type="linesAndChars" w:linePitch="312" w:charSpace="0"/>
        </w:sectPr>
      </w:pPr>
    </w:p>
    <w:p>
      <w:pPr>
        <w:pageBreakBefore w:val="0"/>
        <w:widowControl/>
        <w:kinsoku/>
        <w:wordWrap/>
        <w:bidi w:val="0"/>
        <w:spacing w:line="500" w:lineRule="exact"/>
        <w:jc w:val="left"/>
        <w:rPr>
          <w:rFonts w:hint="default" w:ascii="Times New Roman" w:hAnsi="Times New Roman" w:eastAsia="黑体" w:cs="Times New Roman"/>
          <w:color w:val="auto"/>
          <w:kern w:val="0"/>
          <w:sz w:val="32"/>
          <w:szCs w:val="32"/>
          <w:lang w:val="en-US"/>
        </w:rPr>
      </w:pPr>
      <w:r>
        <w:rPr>
          <w:rFonts w:hint="default" w:ascii="Times New Roman" w:hAnsi="Times New Roman" w:eastAsia="黑体" w:cs="Times New Roman"/>
          <w:color w:val="auto"/>
          <w:kern w:val="0"/>
          <w:sz w:val="32"/>
          <w:szCs w:val="32"/>
        </w:rPr>
        <w:t>附</w:t>
      </w:r>
      <w:r>
        <w:rPr>
          <w:rFonts w:hint="default" w:ascii="Times New Roman" w:hAnsi="Times New Roman" w:eastAsia="黑体" w:cs="Times New Roman"/>
          <w:color w:val="auto"/>
          <w:kern w:val="0"/>
          <w:sz w:val="32"/>
          <w:szCs w:val="32"/>
          <w:lang w:eastAsia="zh-CN"/>
        </w:rPr>
        <w:t>件</w:t>
      </w:r>
      <w:r>
        <w:rPr>
          <w:rFonts w:hint="default" w:ascii="Times New Roman" w:hAnsi="Times New Roman" w:eastAsia="黑体" w:cs="Times New Roman"/>
          <w:color w:val="auto"/>
          <w:kern w:val="0"/>
          <w:sz w:val="32"/>
          <w:szCs w:val="32"/>
          <w:lang w:val="en-US" w:eastAsia="zh-CN"/>
        </w:rPr>
        <w:t>4-2-1</w:t>
      </w:r>
    </w:p>
    <w:p>
      <w:pPr>
        <w:pageBreakBefore w:val="0"/>
        <w:widowControl/>
        <w:kinsoku/>
        <w:wordWrap/>
        <w:bidi w:val="0"/>
        <w:spacing w:line="500" w:lineRule="exact"/>
        <w:jc w:val="center"/>
        <w:rPr>
          <w:rFonts w:hint="default" w:ascii="Times New Roman" w:hAnsi="Times New Roman" w:eastAsia="方正小标宋_GBK" w:cs="Times New Roman"/>
          <w:color w:val="auto"/>
          <w:kern w:val="0"/>
          <w:sz w:val="40"/>
          <w:szCs w:val="40"/>
        </w:rPr>
      </w:pPr>
      <w:r>
        <w:rPr>
          <w:rFonts w:hint="default" w:ascii="Times New Roman" w:hAnsi="Times New Roman" w:eastAsia="方正小标宋_GBK" w:cs="Times New Roman"/>
          <w:color w:val="auto"/>
          <w:kern w:val="0"/>
          <w:sz w:val="40"/>
          <w:szCs w:val="40"/>
        </w:rPr>
        <w:t>省级科研院所改善科研条件资金和项目</w:t>
      </w:r>
    </w:p>
    <w:p>
      <w:pPr>
        <w:pageBreakBefore w:val="0"/>
        <w:widowControl/>
        <w:kinsoku/>
        <w:wordWrap/>
        <w:bidi w:val="0"/>
        <w:spacing w:line="500" w:lineRule="exact"/>
        <w:jc w:val="center"/>
        <w:rPr>
          <w:rFonts w:hint="default" w:ascii="Times New Roman" w:hAnsi="Times New Roman" w:eastAsia="方正小标宋简体" w:cs="Times New Roman"/>
          <w:color w:val="auto"/>
          <w:kern w:val="0"/>
          <w:sz w:val="32"/>
          <w:szCs w:val="32"/>
        </w:rPr>
      </w:pPr>
      <w:r>
        <w:rPr>
          <w:rFonts w:hint="default" w:ascii="Times New Roman" w:hAnsi="Times New Roman" w:eastAsia="方正小标宋_GBK" w:cs="Times New Roman"/>
          <w:color w:val="auto"/>
          <w:kern w:val="0"/>
          <w:sz w:val="40"/>
          <w:szCs w:val="40"/>
        </w:rPr>
        <w:t>申报单位名单</w:t>
      </w:r>
    </w:p>
    <w:tbl>
      <w:tblPr>
        <w:tblStyle w:val="9"/>
        <w:tblW w:w="8595" w:type="dxa"/>
        <w:jc w:val="center"/>
        <w:tblLayout w:type="autofit"/>
        <w:tblCellMar>
          <w:top w:w="0" w:type="dxa"/>
          <w:left w:w="0" w:type="dxa"/>
          <w:bottom w:w="0" w:type="dxa"/>
          <w:right w:w="0" w:type="dxa"/>
        </w:tblCellMar>
      </w:tblPr>
      <w:tblGrid>
        <w:gridCol w:w="1115"/>
        <w:gridCol w:w="7480"/>
      </w:tblGrid>
      <w:tr>
        <w:tblPrEx>
          <w:tblCellMar>
            <w:top w:w="0" w:type="dxa"/>
            <w:left w:w="0" w:type="dxa"/>
            <w:bottom w:w="0" w:type="dxa"/>
            <w:right w:w="0" w:type="dxa"/>
          </w:tblCellMar>
        </w:tblPrEx>
        <w:trPr>
          <w:trHeight w:val="306" w:hRule="exact"/>
          <w:jc w:val="center"/>
        </w:trPr>
        <w:tc>
          <w:tcPr>
            <w:tcW w:w="111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序号</w:t>
            </w:r>
          </w:p>
        </w:tc>
        <w:tc>
          <w:tcPr>
            <w:tcW w:w="74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单位名称</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四川省自然资源科学研究院</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四川省科学技术信息研究所</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四川省科学技术发展战略研究院</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四川省分析测试服务中心</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5</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四川省科学技术研究成果档案馆</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6</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四川省农村科技发展中心</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7</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四川省科技交流中心</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8</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四川省计算机研究院</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9</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四川省原子能研究院</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10</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四川省工业和信息化研究院</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11</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四川省纺织科学研究院有限公司</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12</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四川省植物工程研究院</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13</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四川省工业环境监测研究院</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14</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四川省丝绸科学研究院有限公司</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15</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四川省机械研究设计院（集团）有限公司</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16</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四川省精细化工研究设计院有限公司</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17</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四川省食品发酵工业研究设计院有限公司</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18</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四川省轻工业研究设计院有限公司</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19</w:t>
            </w:r>
          </w:p>
        </w:tc>
        <w:tc>
          <w:tcPr>
            <w:tcW w:w="748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四川省皮革研究所</w:t>
            </w:r>
          </w:p>
        </w:tc>
      </w:tr>
      <w:tr>
        <w:tblPrEx>
          <w:tblCellMar>
            <w:top w:w="0" w:type="dxa"/>
            <w:left w:w="0" w:type="dxa"/>
            <w:bottom w:w="0" w:type="dxa"/>
            <w:right w:w="0" w:type="dxa"/>
          </w:tblCellMar>
        </w:tblPrEx>
        <w:trPr>
          <w:trHeight w:val="306" w:hRule="exact"/>
          <w:jc w:val="center"/>
        </w:trPr>
        <w:tc>
          <w:tcPr>
            <w:tcW w:w="1115"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w:t>
            </w:r>
          </w:p>
        </w:tc>
        <w:tc>
          <w:tcPr>
            <w:tcW w:w="748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四川省工艺美术研究所</w:t>
            </w:r>
          </w:p>
        </w:tc>
      </w:tr>
      <w:tr>
        <w:tblPrEx>
          <w:tblCellMar>
            <w:top w:w="0" w:type="dxa"/>
            <w:left w:w="0" w:type="dxa"/>
            <w:bottom w:w="0" w:type="dxa"/>
            <w:right w:w="0" w:type="dxa"/>
          </w:tblCellMar>
        </w:tblPrEx>
        <w:trPr>
          <w:trHeight w:val="306" w:hRule="exact"/>
          <w:jc w:val="center"/>
        </w:trPr>
        <w:tc>
          <w:tcPr>
            <w:tcW w:w="1115"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21</w:t>
            </w:r>
          </w:p>
        </w:tc>
        <w:tc>
          <w:tcPr>
            <w:tcW w:w="748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四川省建材工业科学研究院有限公司</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22</w:t>
            </w:r>
          </w:p>
        </w:tc>
        <w:tc>
          <w:tcPr>
            <w:tcW w:w="74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四川省建筑科学研究院有限公司</w:t>
            </w:r>
          </w:p>
        </w:tc>
      </w:tr>
      <w:tr>
        <w:tblPrEx>
          <w:tblCellMar>
            <w:top w:w="0" w:type="dxa"/>
            <w:left w:w="0" w:type="dxa"/>
            <w:bottom w:w="0" w:type="dxa"/>
            <w:right w:w="0" w:type="dxa"/>
          </w:tblCellMar>
        </w:tblPrEx>
        <w:trPr>
          <w:trHeight w:val="306" w:hRule="exact"/>
          <w:jc w:val="center"/>
        </w:trPr>
        <w:tc>
          <w:tcPr>
            <w:tcW w:w="1115"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23</w:t>
            </w:r>
          </w:p>
        </w:tc>
        <w:tc>
          <w:tcPr>
            <w:tcW w:w="748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四川省化学工业研究设计院</w:t>
            </w:r>
          </w:p>
        </w:tc>
      </w:tr>
      <w:tr>
        <w:tblPrEx>
          <w:tblCellMar>
            <w:top w:w="0" w:type="dxa"/>
            <w:left w:w="0" w:type="dxa"/>
            <w:bottom w:w="0" w:type="dxa"/>
            <w:right w:w="0" w:type="dxa"/>
          </w:tblCellMar>
        </w:tblPrEx>
        <w:trPr>
          <w:trHeight w:val="306" w:hRule="exact"/>
          <w:jc w:val="center"/>
        </w:trPr>
        <w:tc>
          <w:tcPr>
            <w:tcW w:w="111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24</w:t>
            </w:r>
          </w:p>
        </w:tc>
        <w:tc>
          <w:tcPr>
            <w:tcW w:w="748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四川省酒类科研所</w:t>
            </w:r>
          </w:p>
        </w:tc>
      </w:tr>
      <w:tr>
        <w:tblPrEx>
          <w:tblCellMar>
            <w:top w:w="0" w:type="dxa"/>
            <w:left w:w="0" w:type="dxa"/>
            <w:bottom w:w="0" w:type="dxa"/>
            <w:right w:w="0" w:type="dxa"/>
          </w:tblCellMar>
        </w:tblPrEx>
        <w:trPr>
          <w:trHeight w:val="306" w:hRule="exact"/>
          <w:jc w:val="center"/>
        </w:trPr>
        <w:tc>
          <w:tcPr>
            <w:tcW w:w="1115"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25</w:t>
            </w:r>
          </w:p>
        </w:tc>
        <w:tc>
          <w:tcPr>
            <w:tcW w:w="748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四川省工程科技发展战略研究院（四川省高新技术产业研究院）</w:t>
            </w:r>
          </w:p>
        </w:tc>
      </w:tr>
    </w:tbl>
    <w:p>
      <w:pPr>
        <w:pageBreakBefore w:val="0"/>
        <w:widowControl/>
        <w:kinsoku/>
        <w:wordWrap/>
        <w:bidi w:val="0"/>
        <w:spacing w:line="500" w:lineRule="exact"/>
        <w:jc w:val="left"/>
        <w:rPr>
          <w:rFonts w:hint="default" w:ascii="Times New Roman" w:hAnsi="Times New Roman" w:eastAsia="仿宋_GB2312" w:cs="Times New Roman"/>
          <w:color w:val="auto"/>
          <w:szCs w:val="32"/>
        </w:rPr>
        <w:sectPr>
          <w:pgSz w:w="11906" w:h="16838"/>
          <w:pgMar w:top="2098" w:right="1474" w:bottom="1985" w:left="1588" w:header="851" w:footer="992" w:gutter="0"/>
          <w:pgNumType w:fmt="decimal"/>
          <w:cols w:space="720" w:num="1"/>
          <w:docGrid w:type="linesAndChars" w:linePitch="312" w:charSpace="0"/>
        </w:sectPr>
      </w:pPr>
    </w:p>
    <w:p>
      <w:pPr>
        <w:pageBreakBefore w:val="0"/>
        <w:widowControl/>
        <w:kinsoku/>
        <w:wordWrap/>
        <w:bidi w:val="0"/>
        <w:spacing w:line="500" w:lineRule="exact"/>
        <w:jc w:val="both"/>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4-2-2</w:t>
      </w:r>
    </w:p>
    <w:p>
      <w:pPr>
        <w:keepNext w:val="0"/>
        <w:keepLines w:val="0"/>
        <w:pageBreakBefore w:val="0"/>
        <w:widowControl/>
        <w:kinsoku/>
        <w:wordWrap/>
        <w:overflowPunct/>
        <w:topLinePunct w:val="0"/>
        <w:autoSpaceDE/>
        <w:autoSpaceDN/>
        <w:bidi w:val="0"/>
        <w:adjustRightInd/>
        <w:snapToGrid/>
        <w:spacing w:before="157" w:beforeLines="50" w:after="157" w:afterLines="50" w:line="500" w:lineRule="exact"/>
        <w:jc w:val="center"/>
        <w:textAlignment w:val="auto"/>
        <w:rPr>
          <w:rFonts w:hint="default" w:ascii="Times New Roman" w:hAnsi="Times New Roman" w:eastAsia="方正小标宋_GBK" w:cs="Times New Roman"/>
          <w:color w:val="auto"/>
          <w:kern w:val="0"/>
          <w:sz w:val="36"/>
          <w:szCs w:val="36"/>
        </w:rPr>
      </w:pPr>
      <w:r>
        <w:rPr>
          <w:rFonts w:hint="default" w:ascii="Times New Roman" w:hAnsi="Times New Roman" w:eastAsia="方正小标宋_GBK" w:cs="Times New Roman"/>
          <w:color w:val="auto"/>
          <w:kern w:val="0"/>
          <w:sz w:val="44"/>
          <w:szCs w:val="44"/>
        </w:rPr>
        <w:t>省级科研院所基本科研业务费申报单位名单</w:t>
      </w:r>
    </w:p>
    <w:tbl>
      <w:tblPr>
        <w:tblStyle w:val="9"/>
        <w:tblW w:w="9902" w:type="dxa"/>
        <w:jc w:val="center"/>
        <w:tblLayout w:type="autofit"/>
        <w:tblCellMar>
          <w:top w:w="0" w:type="dxa"/>
          <w:left w:w="0" w:type="dxa"/>
          <w:bottom w:w="0" w:type="dxa"/>
          <w:right w:w="0" w:type="dxa"/>
        </w:tblCellMar>
      </w:tblPr>
      <w:tblGrid>
        <w:gridCol w:w="724"/>
        <w:gridCol w:w="3611"/>
        <w:gridCol w:w="777"/>
        <w:gridCol w:w="4790"/>
      </w:tblGrid>
      <w:tr>
        <w:tblPrEx>
          <w:tblCellMar>
            <w:top w:w="0" w:type="dxa"/>
            <w:left w:w="0" w:type="dxa"/>
            <w:bottom w:w="0" w:type="dxa"/>
            <w:right w:w="0" w:type="dxa"/>
          </w:tblCellMar>
        </w:tblPrEx>
        <w:trPr>
          <w:trHeight w:val="306" w:hRule="exact"/>
          <w:jc w:val="center"/>
        </w:trPr>
        <w:tc>
          <w:tcPr>
            <w:tcW w:w="724" w:type="dxa"/>
            <w:tcBorders>
              <w:top w:val="single" w:color="auto" w:sz="8"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黑体" w:cs="Times New Roman"/>
                <w:color w:val="auto"/>
                <w:kern w:val="0"/>
                <w:sz w:val="24"/>
                <w:szCs w:val="24"/>
              </w:rPr>
              <w:t>序号</w:t>
            </w:r>
          </w:p>
        </w:tc>
        <w:tc>
          <w:tcPr>
            <w:tcW w:w="3611" w:type="dxa"/>
            <w:tcBorders>
              <w:top w:val="single" w:color="auto" w:sz="8" w:space="0"/>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黑体" w:cs="Times New Roman"/>
                <w:color w:val="auto"/>
                <w:kern w:val="0"/>
                <w:sz w:val="24"/>
                <w:szCs w:val="24"/>
              </w:rPr>
              <w:t>单位名称</w:t>
            </w:r>
          </w:p>
        </w:tc>
        <w:tc>
          <w:tcPr>
            <w:tcW w:w="777" w:type="dxa"/>
            <w:tcBorders>
              <w:top w:val="single" w:color="auto" w:sz="8" w:space="0"/>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黑体" w:cs="Times New Roman"/>
                <w:color w:val="auto"/>
                <w:kern w:val="0"/>
                <w:sz w:val="24"/>
                <w:szCs w:val="24"/>
              </w:rPr>
              <w:t>序号</w:t>
            </w:r>
          </w:p>
        </w:tc>
        <w:tc>
          <w:tcPr>
            <w:tcW w:w="4790" w:type="dxa"/>
            <w:tcBorders>
              <w:top w:val="single" w:color="auto" w:sz="8" w:space="0"/>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黑体" w:cs="Times New Roman"/>
                <w:color w:val="auto"/>
                <w:kern w:val="0"/>
                <w:sz w:val="24"/>
                <w:szCs w:val="24"/>
              </w:rPr>
              <w:t>单位名称</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四川省自然资源科学研究院</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24</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四川省国际经济贸易研究所</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四川省科学技术信息研究所</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25</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四川省艺术研究院</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四川省科学技术发展战略研究院</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26</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四川省文物考古研究院</w:t>
            </w:r>
          </w:p>
        </w:tc>
      </w:tr>
      <w:tr>
        <w:tblPrEx>
          <w:tblCellMar>
            <w:top w:w="0" w:type="dxa"/>
            <w:left w:w="0" w:type="dxa"/>
            <w:bottom w:w="0" w:type="dxa"/>
            <w:right w:w="0" w:type="dxa"/>
          </w:tblCellMar>
        </w:tblPrEx>
        <w:trPr>
          <w:trHeight w:val="622"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四川省分析测试服务中心</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27</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四川省医学科学院•四川省人民医院实验动物研究所</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四川省科学技术研究成果档案馆</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28</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四川省卫生计生政策和医学情报研究所</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6</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四川省农村科技发展中心</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29</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四川省中医药科学院</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7</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四川省科技交流中心</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30</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四川省中医药科学院中医研究所</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8</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四川省计算机研究院</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四川省标准化研究院</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9</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四川省原子能研究院</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32</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四川省农业机械研究设计院</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10</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四川省工业和信息化研究院</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33</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四川省食品药品学校（四川养麝研究所）</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11</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四川省植物工程研究院</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34</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四川省体育科学研究所</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四川省工业环境监测研究院</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35</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四川省草原科学研究院</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13</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四川省粮油科研所</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36</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四川省林业科学研究院</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14</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四川省经济发展研究院</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37</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四川省档案局档案科学技术研究所</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15</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四川省发展与改革研究所</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38</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四川省广播电视科研所</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16</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四川省成本物价研究所</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39</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四川省广播电视新闻与传播研究所</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17</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四川省民族研究所</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40</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四川省中医药转化医学中心</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18</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四川省人才交流中心</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41</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四川省安全科学技术研究院</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4"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19</w:t>
            </w:r>
          </w:p>
        </w:tc>
        <w:tc>
          <w:tcPr>
            <w:tcW w:w="3611" w:type="dxa"/>
            <w:tcBorders>
              <w:top w:val="nil"/>
              <w:left w:val="nil"/>
              <w:bottom w:val="single" w:color="auto" w:sz="4"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四川省国土勘测规划研究院</w:t>
            </w:r>
          </w:p>
        </w:tc>
        <w:tc>
          <w:tcPr>
            <w:tcW w:w="777" w:type="dxa"/>
            <w:tcBorders>
              <w:top w:val="nil"/>
              <w:left w:val="nil"/>
              <w:bottom w:val="single" w:color="auto" w:sz="4"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42</w:t>
            </w:r>
          </w:p>
        </w:tc>
        <w:tc>
          <w:tcPr>
            <w:tcW w:w="4790" w:type="dxa"/>
            <w:tcBorders>
              <w:top w:val="nil"/>
              <w:left w:val="nil"/>
              <w:bottom w:val="single" w:color="auto" w:sz="4"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中国测试技术研究院</w:t>
            </w:r>
          </w:p>
        </w:tc>
      </w:tr>
      <w:tr>
        <w:tblPrEx>
          <w:tblCellMar>
            <w:top w:w="0" w:type="dxa"/>
            <w:left w:w="0" w:type="dxa"/>
            <w:bottom w:w="0" w:type="dxa"/>
            <w:right w:w="0" w:type="dxa"/>
          </w:tblCellMar>
        </w:tblPrEx>
        <w:trPr>
          <w:trHeight w:val="607" w:hRule="exact"/>
          <w:jc w:val="center"/>
        </w:trPr>
        <w:tc>
          <w:tcPr>
            <w:tcW w:w="724" w:type="dxa"/>
            <w:tcBorders>
              <w:top w:val="single" w:color="auto" w:sz="4" w:space="0"/>
              <w:left w:val="single" w:color="auto" w:sz="4" w:space="0"/>
              <w:bottom w:val="single" w:color="auto" w:sz="4"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20</w:t>
            </w:r>
          </w:p>
        </w:tc>
        <w:tc>
          <w:tcPr>
            <w:tcW w:w="3611" w:type="dxa"/>
            <w:tcBorders>
              <w:top w:val="single" w:color="auto" w:sz="4" w:space="0"/>
              <w:left w:val="nil"/>
              <w:bottom w:val="single" w:color="auto" w:sz="4"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四川省生态环境科学研究院</w:t>
            </w:r>
          </w:p>
        </w:tc>
        <w:tc>
          <w:tcPr>
            <w:tcW w:w="777" w:type="dxa"/>
            <w:tcBorders>
              <w:top w:val="single" w:color="auto" w:sz="4" w:space="0"/>
              <w:left w:val="nil"/>
              <w:bottom w:val="single" w:color="auto" w:sz="4"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43</w:t>
            </w:r>
          </w:p>
        </w:tc>
        <w:tc>
          <w:tcPr>
            <w:tcW w:w="4790" w:type="dxa"/>
            <w:tcBorders>
              <w:top w:val="single" w:color="auto" w:sz="4" w:space="0"/>
              <w:left w:val="nil"/>
              <w:bottom w:val="single" w:color="auto" w:sz="4" w:space="0"/>
              <w:right w:val="single" w:color="auto" w:sz="4"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四川省地质矿产勘查开发局地质矿产科学研究所</w:t>
            </w:r>
          </w:p>
        </w:tc>
      </w:tr>
      <w:tr>
        <w:tblPrEx>
          <w:tblCellMar>
            <w:top w:w="0" w:type="dxa"/>
            <w:left w:w="0" w:type="dxa"/>
            <w:bottom w:w="0" w:type="dxa"/>
            <w:right w:w="0" w:type="dxa"/>
          </w:tblCellMar>
        </w:tblPrEx>
        <w:trPr>
          <w:trHeight w:val="306" w:hRule="exact"/>
          <w:jc w:val="center"/>
        </w:trPr>
        <w:tc>
          <w:tcPr>
            <w:tcW w:w="724" w:type="dxa"/>
            <w:tcBorders>
              <w:top w:val="single" w:color="auto" w:sz="4" w:space="0"/>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21</w:t>
            </w:r>
          </w:p>
        </w:tc>
        <w:tc>
          <w:tcPr>
            <w:tcW w:w="3611" w:type="dxa"/>
            <w:tcBorders>
              <w:top w:val="single" w:color="auto" w:sz="4" w:space="0"/>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四川省环境政策研究与规划院</w:t>
            </w:r>
          </w:p>
        </w:tc>
        <w:tc>
          <w:tcPr>
            <w:tcW w:w="777" w:type="dxa"/>
            <w:tcBorders>
              <w:top w:val="single" w:color="auto" w:sz="4" w:space="0"/>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44</w:t>
            </w:r>
          </w:p>
        </w:tc>
        <w:tc>
          <w:tcPr>
            <w:tcW w:w="4790" w:type="dxa"/>
            <w:tcBorders>
              <w:top w:val="single" w:color="auto" w:sz="4" w:space="0"/>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四川省人工晶体研究所</w:t>
            </w:r>
          </w:p>
        </w:tc>
      </w:tr>
      <w:tr>
        <w:tblPrEx>
          <w:tblCellMar>
            <w:top w:w="0" w:type="dxa"/>
            <w:left w:w="0" w:type="dxa"/>
            <w:bottom w:w="0" w:type="dxa"/>
            <w:right w:w="0" w:type="dxa"/>
          </w:tblCellMar>
        </w:tblPrEx>
        <w:trPr>
          <w:trHeight w:val="306"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22</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四川省水利科学研究院</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45</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spacing w:val="-8"/>
                <w:kern w:val="0"/>
                <w:sz w:val="24"/>
                <w:szCs w:val="24"/>
              </w:rPr>
              <w:t>四川省交通运输发展战略和规划科学研究院</w:t>
            </w:r>
          </w:p>
        </w:tc>
      </w:tr>
      <w:tr>
        <w:tblPrEx>
          <w:tblCellMar>
            <w:top w:w="0" w:type="dxa"/>
            <w:left w:w="0" w:type="dxa"/>
            <w:bottom w:w="0" w:type="dxa"/>
            <w:right w:w="0" w:type="dxa"/>
          </w:tblCellMar>
        </w:tblPrEx>
        <w:trPr>
          <w:trHeight w:val="589" w:hRule="exact"/>
          <w:jc w:val="center"/>
        </w:trPr>
        <w:tc>
          <w:tcPr>
            <w:tcW w:w="724" w:type="dxa"/>
            <w:tcBorders>
              <w:top w:val="nil"/>
              <w:left w:val="single" w:color="auto" w:sz="8" w:space="0"/>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23</w:t>
            </w:r>
          </w:p>
        </w:tc>
        <w:tc>
          <w:tcPr>
            <w:tcW w:w="3611"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四川省畜牧科学研究院</w:t>
            </w:r>
          </w:p>
        </w:tc>
        <w:tc>
          <w:tcPr>
            <w:tcW w:w="777"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46</w:t>
            </w:r>
          </w:p>
        </w:tc>
        <w:tc>
          <w:tcPr>
            <w:tcW w:w="4790" w:type="dxa"/>
            <w:tcBorders>
              <w:top w:val="nil"/>
              <w:left w:val="nil"/>
              <w:bottom w:val="single" w:color="auto" w:sz="8" w:space="0"/>
              <w:right w:val="single" w:color="auto" w:sz="8" w:space="0"/>
            </w:tcBorders>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spacing w:val="-8"/>
                <w:kern w:val="0"/>
                <w:sz w:val="24"/>
                <w:szCs w:val="24"/>
                <w:lang w:val="en-US" w:eastAsia="zh-CN"/>
              </w:rPr>
              <w:t>四川省工程科技发展战略研究院（四川省高新技术产业研究院）</w:t>
            </w:r>
          </w:p>
        </w:tc>
      </w:tr>
    </w:tbl>
    <w:p>
      <w:pPr>
        <w:pageBreakBefore w:val="0"/>
        <w:widowControl/>
        <w:kinsoku/>
        <w:wordWrap/>
        <w:bidi w:val="0"/>
        <w:spacing w:line="500" w:lineRule="exact"/>
        <w:jc w:val="left"/>
        <w:rPr>
          <w:rFonts w:hint="default" w:ascii="Times New Roman" w:hAnsi="Times New Roman" w:eastAsia="方正小标宋_GBK" w:cs="Times New Roman"/>
          <w:color w:val="auto"/>
          <w:kern w:val="0"/>
          <w:sz w:val="32"/>
          <w:szCs w:val="32"/>
        </w:rPr>
      </w:pPr>
      <w:r>
        <w:rPr>
          <w:rFonts w:hint="default" w:ascii="Times New Roman" w:hAnsi="Times New Roman" w:eastAsia="黑体" w:cs="Times New Roman"/>
          <w:color w:val="auto"/>
          <w:kern w:val="0"/>
          <w:sz w:val="32"/>
          <w:szCs w:val="32"/>
        </w:rPr>
        <w:br w:type="page"/>
      </w: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4-2-3</w:t>
      </w:r>
    </w:p>
    <w:p>
      <w:pPr>
        <w:keepNext w:val="0"/>
        <w:keepLines w:val="0"/>
        <w:pageBreakBefore w:val="0"/>
        <w:widowControl/>
        <w:kinsoku/>
        <w:wordWrap/>
        <w:overflowPunct/>
        <w:topLinePunct w:val="0"/>
        <w:autoSpaceDE/>
        <w:autoSpaceDN/>
        <w:bidi w:val="0"/>
        <w:adjustRightInd/>
        <w:snapToGrid/>
        <w:spacing w:before="157" w:beforeLines="50" w:line="500" w:lineRule="exact"/>
        <w:jc w:val="center"/>
        <w:textAlignment w:val="auto"/>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省级科研院所科技成果转化项目</w:t>
      </w:r>
    </w:p>
    <w:p>
      <w:pPr>
        <w:keepNext w:val="0"/>
        <w:keepLines w:val="0"/>
        <w:pageBreakBefore w:val="0"/>
        <w:widowControl/>
        <w:kinsoku/>
        <w:wordWrap/>
        <w:overflowPunct/>
        <w:topLinePunct w:val="0"/>
        <w:autoSpaceDE/>
        <w:autoSpaceDN/>
        <w:bidi w:val="0"/>
        <w:adjustRightInd/>
        <w:snapToGrid/>
        <w:spacing w:after="157" w:afterLines="50" w:line="500" w:lineRule="exact"/>
        <w:jc w:val="center"/>
        <w:textAlignment w:val="auto"/>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申报单位名单</w:t>
      </w:r>
    </w:p>
    <w:tbl>
      <w:tblPr>
        <w:tblStyle w:val="9"/>
        <w:tblpPr w:leftFromText="180" w:rightFromText="180" w:vertAnchor="text" w:tblpXSpec="center"/>
        <w:tblW w:w="9752" w:type="dxa"/>
        <w:jc w:val="center"/>
        <w:tblLayout w:type="autofit"/>
        <w:tblCellMar>
          <w:top w:w="0" w:type="dxa"/>
          <w:left w:w="0" w:type="dxa"/>
          <w:bottom w:w="0" w:type="dxa"/>
          <w:right w:w="0" w:type="dxa"/>
        </w:tblCellMar>
      </w:tblPr>
      <w:tblGrid>
        <w:gridCol w:w="866"/>
        <w:gridCol w:w="3637"/>
        <w:gridCol w:w="853"/>
        <w:gridCol w:w="4396"/>
      </w:tblGrid>
      <w:tr>
        <w:tblPrEx>
          <w:tblCellMar>
            <w:top w:w="0" w:type="dxa"/>
            <w:left w:w="0" w:type="dxa"/>
            <w:bottom w:w="0" w:type="dxa"/>
            <w:right w:w="0" w:type="dxa"/>
          </w:tblCellMar>
        </w:tblPrEx>
        <w:trPr>
          <w:trHeight w:val="306" w:hRule="exact"/>
          <w:jc w:val="center"/>
        </w:trPr>
        <w:tc>
          <w:tcPr>
            <w:tcW w:w="86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黑体" w:cs="Times New Roman"/>
                <w:color w:val="auto"/>
                <w:kern w:val="0"/>
                <w:sz w:val="24"/>
                <w:szCs w:val="24"/>
              </w:rPr>
              <w:t>序号</w:t>
            </w:r>
          </w:p>
        </w:tc>
        <w:tc>
          <w:tcPr>
            <w:tcW w:w="363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黑体" w:cs="Times New Roman"/>
                <w:color w:val="auto"/>
                <w:kern w:val="0"/>
                <w:sz w:val="24"/>
                <w:szCs w:val="24"/>
              </w:rPr>
              <w:t>单位名称</w:t>
            </w:r>
          </w:p>
        </w:tc>
        <w:tc>
          <w:tcPr>
            <w:tcW w:w="8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黑体" w:cs="Times New Roman"/>
                <w:color w:val="auto"/>
                <w:kern w:val="0"/>
                <w:sz w:val="24"/>
                <w:szCs w:val="24"/>
              </w:rPr>
              <w:t>序号</w:t>
            </w:r>
          </w:p>
        </w:tc>
        <w:tc>
          <w:tcPr>
            <w:tcW w:w="439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黑体" w:cs="Times New Roman"/>
                <w:color w:val="auto"/>
                <w:kern w:val="0"/>
                <w:sz w:val="24"/>
                <w:szCs w:val="24"/>
              </w:rPr>
              <w:t>单位名称</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四川省自然资源科学研究院</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29</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四川省民族研究所</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四川省科学技术信息研究所</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30</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四川省人才交流中心</w:t>
            </w:r>
          </w:p>
        </w:tc>
      </w:tr>
      <w:tr>
        <w:tblPrEx>
          <w:tblCellMar>
            <w:top w:w="0" w:type="dxa"/>
            <w:left w:w="0" w:type="dxa"/>
            <w:bottom w:w="0" w:type="dxa"/>
            <w:right w:w="0" w:type="dxa"/>
          </w:tblCellMar>
        </w:tblPrEx>
        <w:trPr>
          <w:trHeight w:val="401" w:hRule="exact"/>
          <w:jc w:val="center"/>
        </w:trPr>
        <w:tc>
          <w:tcPr>
            <w:tcW w:w="866" w:type="dxa"/>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w:t>
            </w:r>
          </w:p>
        </w:tc>
        <w:tc>
          <w:tcPr>
            <w:tcW w:w="3637"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四川省科学技术发展战略研究院</w:t>
            </w:r>
          </w:p>
        </w:tc>
        <w:tc>
          <w:tcPr>
            <w:tcW w:w="85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w:t>
            </w:r>
          </w:p>
        </w:tc>
        <w:tc>
          <w:tcPr>
            <w:tcW w:w="439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四川省国土勘测规划研究院</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四川省分析测试服务中心</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32</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四川省生态环境科学研究院</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四川省科学技术研究成果档案馆</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33</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四川省环境政策研究与规划院</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6</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四川省农村科技发展中心</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34</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四川省水利科学研究院</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7</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四川省科技交流中心</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35</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四川省农业机械研究设计院</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8</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四川省计算机研究院</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36</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四川省畜牧科学研究院</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9</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四川省原子能研究院</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37</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四川省国际经济贸易研究所</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10</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四川省工业和信息化研究院</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38</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四川省艺术研究院</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11</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四川省植物工程研究院</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39</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四川省文物考古研究院</w:t>
            </w:r>
          </w:p>
        </w:tc>
      </w:tr>
      <w:tr>
        <w:tblPrEx>
          <w:tblCellMar>
            <w:top w:w="0" w:type="dxa"/>
            <w:left w:w="0" w:type="dxa"/>
            <w:bottom w:w="0" w:type="dxa"/>
            <w:right w:w="0" w:type="dxa"/>
          </w:tblCellMar>
        </w:tblPrEx>
        <w:trPr>
          <w:trHeight w:val="48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四川省工业环境监测研究院</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40</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四川省医学科学院•四川省人民医院实验动物研究所</w:t>
            </w:r>
          </w:p>
        </w:tc>
      </w:tr>
      <w:tr>
        <w:tblPrEx>
          <w:tblCellMar>
            <w:top w:w="0" w:type="dxa"/>
            <w:left w:w="0" w:type="dxa"/>
            <w:bottom w:w="0" w:type="dxa"/>
            <w:right w:w="0" w:type="dxa"/>
          </w:tblCellMar>
        </w:tblPrEx>
        <w:trPr>
          <w:trHeight w:val="58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13</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四川省丝绸科学研究院有限公司</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41</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四川省卫生计生政策和医学情报研究所</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14</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四川省机械研究设计院（集团）有限公司</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42</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四川省中医药科学院</w:t>
            </w:r>
          </w:p>
        </w:tc>
      </w:tr>
      <w:tr>
        <w:tblPrEx>
          <w:tblCellMar>
            <w:top w:w="0" w:type="dxa"/>
            <w:left w:w="0" w:type="dxa"/>
            <w:bottom w:w="0" w:type="dxa"/>
            <w:right w:w="0" w:type="dxa"/>
          </w:tblCellMar>
        </w:tblPrEx>
        <w:trPr>
          <w:trHeight w:val="481"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15</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四川省精细化工研究设计院有限公司</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43</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四川省中医药科学院中医研究所</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16</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四川省食品发酵工业研究设计院有限公司</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44</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四川省标准化研究院</w:t>
            </w:r>
          </w:p>
        </w:tc>
      </w:tr>
      <w:tr>
        <w:tblPrEx>
          <w:tblCellMar>
            <w:top w:w="0" w:type="dxa"/>
            <w:left w:w="0" w:type="dxa"/>
            <w:bottom w:w="0" w:type="dxa"/>
            <w:right w:w="0" w:type="dxa"/>
          </w:tblCellMar>
        </w:tblPrEx>
        <w:trPr>
          <w:trHeight w:val="551" w:hRule="exact"/>
          <w:jc w:val="center"/>
        </w:trPr>
        <w:tc>
          <w:tcPr>
            <w:tcW w:w="866"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17</w:t>
            </w:r>
          </w:p>
        </w:tc>
        <w:tc>
          <w:tcPr>
            <w:tcW w:w="363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四川省轻工业研究设计院有限公司</w:t>
            </w:r>
          </w:p>
        </w:tc>
        <w:tc>
          <w:tcPr>
            <w:tcW w:w="85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45</w:t>
            </w:r>
          </w:p>
        </w:tc>
        <w:tc>
          <w:tcPr>
            <w:tcW w:w="4396"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四川省食品药品学校（四川养麝研究所）</w:t>
            </w:r>
          </w:p>
        </w:tc>
      </w:tr>
      <w:tr>
        <w:tblPrEx>
          <w:tblCellMar>
            <w:top w:w="0" w:type="dxa"/>
            <w:left w:w="0" w:type="dxa"/>
            <w:bottom w:w="0" w:type="dxa"/>
            <w:right w:w="0" w:type="dxa"/>
          </w:tblCellMar>
        </w:tblPrEx>
        <w:trPr>
          <w:trHeight w:val="306" w:hRule="exact"/>
          <w:jc w:val="center"/>
        </w:trPr>
        <w:tc>
          <w:tcPr>
            <w:tcW w:w="866"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18</w:t>
            </w:r>
          </w:p>
        </w:tc>
        <w:tc>
          <w:tcPr>
            <w:tcW w:w="3637"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四川省皮革研究所</w:t>
            </w:r>
          </w:p>
        </w:tc>
        <w:tc>
          <w:tcPr>
            <w:tcW w:w="853"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46</w:t>
            </w:r>
          </w:p>
        </w:tc>
        <w:tc>
          <w:tcPr>
            <w:tcW w:w="439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四川省体育科学研究所</w:t>
            </w:r>
          </w:p>
        </w:tc>
      </w:tr>
      <w:tr>
        <w:tblPrEx>
          <w:tblCellMar>
            <w:top w:w="0" w:type="dxa"/>
            <w:left w:w="0" w:type="dxa"/>
            <w:bottom w:w="0" w:type="dxa"/>
            <w:right w:w="0" w:type="dxa"/>
          </w:tblCellMar>
        </w:tblPrEx>
        <w:trPr>
          <w:trHeight w:val="306" w:hRule="exact"/>
          <w:jc w:val="center"/>
        </w:trPr>
        <w:tc>
          <w:tcPr>
            <w:tcW w:w="866"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19</w:t>
            </w:r>
          </w:p>
        </w:tc>
        <w:tc>
          <w:tcPr>
            <w:tcW w:w="3637"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四川省工艺美术研究所</w:t>
            </w:r>
          </w:p>
        </w:tc>
        <w:tc>
          <w:tcPr>
            <w:tcW w:w="853"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47</w:t>
            </w:r>
          </w:p>
        </w:tc>
        <w:tc>
          <w:tcPr>
            <w:tcW w:w="4396"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四川省草原科学研究院</w:t>
            </w:r>
          </w:p>
        </w:tc>
      </w:tr>
      <w:tr>
        <w:tblPrEx>
          <w:tblCellMar>
            <w:top w:w="0" w:type="dxa"/>
            <w:left w:w="0" w:type="dxa"/>
            <w:bottom w:w="0" w:type="dxa"/>
            <w:right w:w="0" w:type="dxa"/>
          </w:tblCellMar>
        </w:tblPrEx>
        <w:trPr>
          <w:trHeight w:val="5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20</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四川省建材工业科学研究院有限公司</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48</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四川省林业科学研究院</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21</w:t>
            </w:r>
          </w:p>
        </w:tc>
        <w:tc>
          <w:tcPr>
            <w:tcW w:w="363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四川省建筑科学研究院有限公司</w:t>
            </w:r>
          </w:p>
        </w:tc>
        <w:tc>
          <w:tcPr>
            <w:tcW w:w="8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49</w:t>
            </w:r>
          </w:p>
        </w:tc>
        <w:tc>
          <w:tcPr>
            <w:tcW w:w="4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四川省档案局档案科学技术研究所</w:t>
            </w:r>
          </w:p>
        </w:tc>
      </w:tr>
      <w:tr>
        <w:tblPrEx>
          <w:tblCellMar>
            <w:top w:w="0" w:type="dxa"/>
            <w:left w:w="0" w:type="dxa"/>
            <w:bottom w:w="0" w:type="dxa"/>
            <w:right w:w="0" w:type="dxa"/>
          </w:tblCellMar>
        </w:tblPrEx>
        <w:trPr>
          <w:trHeight w:val="306" w:hRule="exact"/>
          <w:jc w:val="center"/>
        </w:trPr>
        <w:tc>
          <w:tcPr>
            <w:tcW w:w="866"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22</w:t>
            </w:r>
          </w:p>
        </w:tc>
        <w:tc>
          <w:tcPr>
            <w:tcW w:w="3637"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四川省化学工业研究设计院</w:t>
            </w:r>
          </w:p>
        </w:tc>
        <w:tc>
          <w:tcPr>
            <w:tcW w:w="85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50</w:t>
            </w:r>
          </w:p>
        </w:tc>
        <w:tc>
          <w:tcPr>
            <w:tcW w:w="4396"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四川省广播电视科研所</w:t>
            </w:r>
          </w:p>
        </w:tc>
      </w:tr>
      <w:tr>
        <w:tblPrEx>
          <w:tblCellMar>
            <w:top w:w="0" w:type="dxa"/>
            <w:left w:w="0" w:type="dxa"/>
            <w:bottom w:w="0" w:type="dxa"/>
            <w:right w:w="0" w:type="dxa"/>
          </w:tblCellMar>
        </w:tblPrEx>
        <w:trPr>
          <w:trHeight w:val="306" w:hRule="exact"/>
          <w:jc w:val="center"/>
        </w:trPr>
        <w:tc>
          <w:tcPr>
            <w:tcW w:w="86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23</w:t>
            </w:r>
          </w:p>
        </w:tc>
        <w:tc>
          <w:tcPr>
            <w:tcW w:w="36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四川省酒类科研所</w:t>
            </w:r>
          </w:p>
        </w:tc>
        <w:tc>
          <w:tcPr>
            <w:tcW w:w="8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51</w:t>
            </w:r>
          </w:p>
        </w:tc>
        <w:tc>
          <w:tcPr>
            <w:tcW w:w="43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四川省广播电视新闻与传播研究所</w:t>
            </w:r>
          </w:p>
        </w:tc>
      </w:tr>
      <w:tr>
        <w:tblPrEx>
          <w:tblCellMar>
            <w:top w:w="0" w:type="dxa"/>
            <w:left w:w="0" w:type="dxa"/>
            <w:bottom w:w="0" w:type="dxa"/>
            <w:right w:w="0" w:type="dxa"/>
          </w:tblCellMar>
        </w:tblPrEx>
        <w:trPr>
          <w:trHeight w:val="306" w:hRule="exact"/>
          <w:jc w:val="center"/>
        </w:trPr>
        <w:tc>
          <w:tcPr>
            <w:tcW w:w="866"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24</w:t>
            </w:r>
          </w:p>
        </w:tc>
        <w:tc>
          <w:tcPr>
            <w:tcW w:w="3637"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四川省粮油科研所</w:t>
            </w:r>
          </w:p>
        </w:tc>
        <w:tc>
          <w:tcPr>
            <w:tcW w:w="853"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52</w:t>
            </w:r>
          </w:p>
        </w:tc>
        <w:tc>
          <w:tcPr>
            <w:tcW w:w="4396"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四川省中医药转化医学中心</w:t>
            </w:r>
          </w:p>
        </w:tc>
      </w:tr>
      <w:tr>
        <w:tblPrEx>
          <w:tblCellMar>
            <w:top w:w="0" w:type="dxa"/>
            <w:left w:w="0" w:type="dxa"/>
            <w:bottom w:w="0" w:type="dxa"/>
            <w:right w:w="0" w:type="dxa"/>
          </w:tblCellMar>
        </w:tblPrEx>
        <w:trPr>
          <w:trHeight w:val="306" w:hRule="exact"/>
          <w:jc w:val="center"/>
        </w:trPr>
        <w:tc>
          <w:tcPr>
            <w:tcW w:w="86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25</w:t>
            </w:r>
          </w:p>
        </w:tc>
        <w:tc>
          <w:tcPr>
            <w:tcW w:w="363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四川省经济发展研究院</w:t>
            </w:r>
          </w:p>
        </w:tc>
        <w:tc>
          <w:tcPr>
            <w:tcW w:w="8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53</w:t>
            </w:r>
          </w:p>
        </w:tc>
        <w:tc>
          <w:tcPr>
            <w:tcW w:w="439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四川省审计科学研究所</w:t>
            </w:r>
          </w:p>
        </w:tc>
      </w:tr>
      <w:tr>
        <w:tblPrEx>
          <w:tblCellMar>
            <w:top w:w="0" w:type="dxa"/>
            <w:left w:w="0" w:type="dxa"/>
            <w:bottom w:w="0" w:type="dxa"/>
            <w:right w:w="0" w:type="dxa"/>
          </w:tblCellMar>
        </w:tblPrEx>
        <w:trPr>
          <w:trHeight w:val="306" w:hRule="exact"/>
          <w:jc w:val="center"/>
        </w:trPr>
        <w:tc>
          <w:tcPr>
            <w:tcW w:w="86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26</w:t>
            </w:r>
          </w:p>
        </w:tc>
        <w:tc>
          <w:tcPr>
            <w:tcW w:w="363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四川省发展与改革研究所</w:t>
            </w:r>
          </w:p>
        </w:tc>
        <w:tc>
          <w:tcPr>
            <w:tcW w:w="8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54</w:t>
            </w:r>
          </w:p>
        </w:tc>
        <w:tc>
          <w:tcPr>
            <w:tcW w:w="439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四川省医学科学院</w:t>
            </w:r>
            <w:r>
              <w:rPr>
                <w:rFonts w:hint="default" w:ascii="Times New Roman" w:hAnsi="Times New Roman" w:eastAsia="宋体" w:cs="Times New Roman"/>
                <w:color w:val="auto"/>
                <w:kern w:val="0"/>
                <w:sz w:val="24"/>
                <w:szCs w:val="24"/>
              </w:rPr>
              <w:t>·</w:t>
            </w:r>
            <w:r>
              <w:rPr>
                <w:rFonts w:hint="default" w:ascii="Times New Roman" w:hAnsi="Times New Roman" w:eastAsia="仿宋_GB2312" w:cs="Times New Roman"/>
                <w:color w:val="auto"/>
                <w:kern w:val="0"/>
                <w:sz w:val="24"/>
                <w:szCs w:val="24"/>
              </w:rPr>
              <w:t>四川省人民医院</w:t>
            </w:r>
          </w:p>
        </w:tc>
      </w:tr>
      <w:tr>
        <w:tblPrEx>
          <w:tblCellMar>
            <w:top w:w="0" w:type="dxa"/>
            <w:left w:w="0" w:type="dxa"/>
            <w:bottom w:w="0" w:type="dxa"/>
            <w:right w:w="0" w:type="dxa"/>
          </w:tblCellMar>
        </w:tblPrEx>
        <w:trPr>
          <w:trHeight w:val="306" w:hRule="exact"/>
          <w:jc w:val="center"/>
        </w:trPr>
        <w:tc>
          <w:tcPr>
            <w:tcW w:w="866"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27</w:t>
            </w:r>
          </w:p>
        </w:tc>
        <w:tc>
          <w:tcPr>
            <w:tcW w:w="3637"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四川省成本物价研究所</w:t>
            </w:r>
          </w:p>
        </w:tc>
        <w:tc>
          <w:tcPr>
            <w:tcW w:w="853"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55</w:t>
            </w:r>
          </w:p>
        </w:tc>
        <w:tc>
          <w:tcPr>
            <w:tcW w:w="4396"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仿宋_GB2312" w:cs="Times New Roman"/>
                <w:color w:val="auto"/>
                <w:kern w:val="0"/>
                <w:sz w:val="24"/>
                <w:szCs w:val="24"/>
              </w:rPr>
              <w:t>四川省人口和计划生育科学研究所</w:t>
            </w:r>
          </w:p>
        </w:tc>
      </w:tr>
      <w:tr>
        <w:tblPrEx>
          <w:tblCellMar>
            <w:top w:w="0" w:type="dxa"/>
            <w:left w:w="0" w:type="dxa"/>
            <w:bottom w:w="0" w:type="dxa"/>
            <w:right w:w="0" w:type="dxa"/>
          </w:tblCellMar>
        </w:tblPrEx>
        <w:trPr>
          <w:trHeight w:val="536" w:hRule="exact"/>
          <w:jc w:val="center"/>
        </w:trPr>
        <w:tc>
          <w:tcPr>
            <w:tcW w:w="866"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28</w:t>
            </w:r>
          </w:p>
        </w:tc>
        <w:tc>
          <w:tcPr>
            <w:tcW w:w="3637"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四川省纺织科学研究院有限公司</w:t>
            </w:r>
          </w:p>
        </w:tc>
        <w:tc>
          <w:tcPr>
            <w:tcW w:w="853"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56</w:t>
            </w:r>
          </w:p>
        </w:tc>
        <w:tc>
          <w:tcPr>
            <w:tcW w:w="4396"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pacing w:val="-8"/>
                <w:kern w:val="0"/>
                <w:sz w:val="24"/>
                <w:szCs w:val="24"/>
                <w:lang w:val="en-US" w:eastAsia="zh-CN"/>
              </w:rPr>
              <w:t>四川省工程科技发展战略研究院（四川省高新技术产业研究院）</w:t>
            </w:r>
          </w:p>
        </w:tc>
      </w:tr>
    </w:tbl>
    <w:p>
      <w:pPr>
        <w:pageBreakBefore w:val="0"/>
        <w:widowControl/>
        <w:kinsoku/>
        <w:wordWrap/>
        <w:bidi w:val="0"/>
        <w:spacing w:line="500" w:lineRule="exact"/>
        <w:jc w:val="left"/>
        <w:rPr>
          <w:rFonts w:hint="default" w:ascii="Times New Roman" w:hAnsi="Times New Roman" w:eastAsia="仿宋_GB2312" w:cs="Times New Roman"/>
          <w:b/>
          <w:color w:val="FF0000"/>
          <w:sz w:val="32"/>
          <w:szCs w:val="32"/>
          <w:u w:val="single"/>
        </w:rPr>
      </w:pPr>
    </w:p>
    <w:p>
      <w:pPr>
        <w:pStyle w:val="5"/>
        <w:pageBreakBefore w:val="0"/>
        <w:widowControl w:val="0"/>
        <w:numPr>
          <w:ilvl w:val="0"/>
          <w:numId w:val="0"/>
        </w:numPr>
        <w:kinsoku/>
        <w:wordWrap/>
        <w:bidi w:val="0"/>
        <w:spacing w:line="50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三、四川高端引智计划</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楷体_GBK" w:cs="Times New Roman"/>
          <w:color w:val="000000"/>
          <w:sz w:val="28"/>
          <w:szCs w:val="28"/>
        </w:rPr>
      </w:pPr>
      <w:r>
        <w:rPr>
          <w:rFonts w:hint="default" w:ascii="Times New Roman" w:hAnsi="Times New Roman" w:eastAsia="方正楷体_GBK" w:cs="Times New Roman"/>
          <w:color w:val="000000"/>
          <w:sz w:val="28"/>
          <w:szCs w:val="28"/>
        </w:rPr>
        <w:t>(该指南在线填写“四川省国（境）外高端人才引进项目申报书”“四川省引智成果示范推广项目申报书”</w:t>
      </w:r>
      <w:r>
        <w:rPr>
          <w:rFonts w:hint="eastAsia" w:ascii="Times New Roman" w:hAnsi="Times New Roman" w:eastAsia="方正楷体_GBK" w:cs="Times New Roman"/>
          <w:color w:val="000000"/>
          <w:sz w:val="28"/>
          <w:szCs w:val="28"/>
          <w:lang w:eastAsia="zh-CN"/>
        </w:rPr>
        <w:t>。</w:t>
      </w:r>
      <w:r>
        <w:rPr>
          <w:rFonts w:hint="default" w:ascii="Times New Roman" w:hAnsi="Times New Roman" w:eastAsia="方正楷体_GBK" w:cs="Times New Roman"/>
          <w:color w:val="000000"/>
          <w:sz w:val="28"/>
          <w:szCs w:val="28"/>
          <w:lang w:eastAsia="zh-CN"/>
        </w:rPr>
        <w:t>指南咨询：李庆洪</w:t>
      </w:r>
      <w:r>
        <w:rPr>
          <w:rFonts w:hint="default" w:ascii="Times New Roman" w:hAnsi="Times New Roman" w:eastAsia="方正楷体_GBK" w:cs="Times New Roman"/>
          <w:color w:val="000000"/>
          <w:sz w:val="28"/>
          <w:szCs w:val="28"/>
          <w:lang w:val="en-US" w:eastAsia="zh-CN"/>
        </w:rPr>
        <w:t xml:space="preserve"> 028-86720583</w:t>
      </w:r>
      <w:r>
        <w:rPr>
          <w:rFonts w:hint="default" w:ascii="Times New Roman" w:hAnsi="Times New Roman" w:eastAsia="方正楷体_GBK" w:cs="Times New Roman"/>
          <w:color w:val="000000"/>
          <w:sz w:val="28"/>
          <w:szCs w:val="28"/>
        </w:rPr>
        <w:t>)</w:t>
      </w:r>
    </w:p>
    <w:p>
      <w:pPr>
        <w:pStyle w:val="5"/>
        <w:pageBreakBefore w:val="0"/>
        <w:widowControl w:val="0"/>
        <w:numPr>
          <w:ilvl w:val="0"/>
          <w:numId w:val="0"/>
        </w:numPr>
        <w:kinsoku/>
        <w:wordWrap/>
        <w:bidi w:val="0"/>
        <w:spacing w:line="500" w:lineRule="exact"/>
        <w:ind w:firstLine="640" w:firstLineChars="200"/>
        <w:jc w:val="both"/>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val="0"/>
        <w:snapToGrid/>
        <w:spacing w:line="360" w:lineRule="exact"/>
        <w:ind w:firstLine="600" w:firstLineChars="200"/>
        <w:jc w:val="both"/>
        <w:textAlignment w:val="auto"/>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0"/>
          <w:szCs w:val="30"/>
          <w:lang w:eastAsia="zh-CN"/>
        </w:rPr>
        <w:t>——总体绩效目标</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柔性引进一批急需紧缺的战略科学家、科技领军人才、高级管理人才、金融人才、紧缺专业人才和高水平创新团队，为我省</w:t>
      </w:r>
      <w:r>
        <w:rPr>
          <w:rFonts w:hint="default" w:ascii="Times New Roman" w:hAnsi="Times New Roman" w:eastAsia="仿宋_GB2312" w:cs="Times New Roman"/>
          <w:color w:val="000000"/>
          <w:sz w:val="30"/>
          <w:szCs w:val="30"/>
          <w:lang w:eastAsia="zh-CN"/>
        </w:rPr>
        <w:t>科技创新和产业</w:t>
      </w:r>
      <w:r>
        <w:rPr>
          <w:rFonts w:hint="default" w:ascii="Times New Roman" w:hAnsi="Times New Roman" w:eastAsia="仿宋_GB2312" w:cs="Times New Roman"/>
          <w:color w:val="000000"/>
          <w:sz w:val="30"/>
          <w:szCs w:val="30"/>
        </w:rPr>
        <w:t>发展提供外智助力。示范推广一批引智成果，扩大引才引智受益面,为我省经济社会发展提供外智成果支持。</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spacing w:line="360" w:lineRule="exact"/>
        <w:ind w:firstLine="600" w:firstLineChars="200"/>
        <w:jc w:val="both"/>
        <w:textAlignment w:val="auto"/>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0"/>
          <w:szCs w:val="30"/>
          <w:lang w:eastAsia="zh-CN"/>
        </w:rPr>
        <w:t>——资金支持方式和支持经费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四川高端引智计划分为国（境）外高端人才引进项目和引智成果示范推广项目两类，</w:t>
      </w:r>
      <w:r>
        <w:rPr>
          <w:rFonts w:hint="default" w:ascii="Times New Roman" w:hAnsi="Times New Roman" w:eastAsia="仿宋_GB2312" w:cs="Times New Roman"/>
          <w:color w:val="000000"/>
          <w:sz w:val="30"/>
          <w:szCs w:val="30"/>
        </w:rPr>
        <w:t>专项资金采取前补助支持方式。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国（境）外高端人才项目常规项目每项支持经费不超过</w:t>
      </w:r>
      <w:r>
        <w:rPr>
          <w:rFonts w:hint="default" w:ascii="Times New Roman" w:hAnsi="Times New Roman" w:eastAsia="仿宋_GB2312" w:cs="Times New Roman"/>
          <w:color w:val="000000"/>
          <w:sz w:val="30"/>
          <w:szCs w:val="30"/>
        </w:rPr>
        <w:t>30万元</w:t>
      </w:r>
      <w:r>
        <w:rPr>
          <w:rFonts w:hint="default" w:ascii="Times New Roman" w:hAnsi="Times New Roman" w:eastAsia="仿宋_GB2312" w:cs="Times New Roman"/>
          <w:color w:val="000000"/>
          <w:sz w:val="30"/>
          <w:szCs w:val="30"/>
          <w:lang w:eastAsia="zh-CN"/>
        </w:rPr>
        <w:t>，高层次创新团队项目每项支持经费不超过</w:t>
      </w:r>
      <w:r>
        <w:rPr>
          <w:rFonts w:hint="default" w:ascii="Times New Roman" w:hAnsi="Times New Roman" w:eastAsia="仿宋_GB2312" w:cs="Times New Roman"/>
          <w:color w:val="000000"/>
          <w:sz w:val="30"/>
          <w:szCs w:val="30"/>
          <w:lang w:val="en-US" w:eastAsia="zh-CN"/>
        </w:rPr>
        <w:t>80万元。引智成果示范推广项目每项支持经费不超过50万元。</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spacing w:line="360" w:lineRule="exact"/>
        <w:ind w:firstLine="600" w:firstLineChars="200"/>
        <w:jc w:val="both"/>
        <w:textAlignment w:val="auto"/>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0"/>
          <w:szCs w:val="30"/>
          <w:lang w:eastAsia="zh-CN"/>
        </w:rPr>
        <w:t>——实施周期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国（境）外高端人才项目执行期1年，引智成果示范推广项目执行期2年，自202</w:t>
      </w:r>
      <w:r>
        <w:rPr>
          <w:rFonts w:hint="default" w:ascii="Times New Roman" w:hAnsi="Times New Roman" w:eastAsia="仿宋_GB2312" w:cs="Times New Roman"/>
          <w:color w:val="000000"/>
          <w:sz w:val="30"/>
          <w:szCs w:val="30"/>
          <w:lang w:val="en-US" w:eastAsia="zh-CN"/>
        </w:rPr>
        <w:t>3</w:t>
      </w:r>
      <w:r>
        <w:rPr>
          <w:rFonts w:hint="default" w:ascii="Times New Roman" w:hAnsi="Times New Roman" w:eastAsia="仿宋_GB2312" w:cs="Times New Roman"/>
          <w:color w:val="000000"/>
          <w:sz w:val="30"/>
          <w:szCs w:val="30"/>
          <w:lang w:eastAsia="zh-CN"/>
        </w:rPr>
        <w:t>年</w:t>
      </w:r>
      <w:r>
        <w:rPr>
          <w:rFonts w:hint="default" w:ascii="Times New Roman" w:hAnsi="Times New Roman" w:eastAsia="仿宋_GB2312" w:cs="Times New Roman"/>
          <w:color w:val="000000"/>
          <w:sz w:val="30"/>
          <w:szCs w:val="30"/>
          <w:lang w:val="en-US" w:eastAsia="zh-CN"/>
        </w:rPr>
        <w:t>1</w:t>
      </w:r>
      <w:r>
        <w:rPr>
          <w:rFonts w:hint="default" w:ascii="Times New Roman" w:hAnsi="Times New Roman" w:eastAsia="仿宋_GB2312" w:cs="Times New Roman"/>
          <w:color w:val="000000"/>
          <w:sz w:val="30"/>
          <w:szCs w:val="30"/>
          <w:lang w:eastAsia="zh-CN"/>
        </w:rPr>
        <w:t>月</w:t>
      </w:r>
      <w:r>
        <w:rPr>
          <w:rFonts w:hint="default" w:ascii="Times New Roman" w:hAnsi="Times New Roman" w:eastAsia="仿宋_GB2312" w:cs="Times New Roman"/>
          <w:color w:val="000000"/>
          <w:sz w:val="30"/>
          <w:szCs w:val="30"/>
          <w:lang w:val="en-US" w:eastAsia="zh-CN"/>
        </w:rPr>
        <w:t>1日起</w:t>
      </w:r>
      <w:r>
        <w:rPr>
          <w:rFonts w:hint="default" w:ascii="Times New Roman" w:hAnsi="Times New Roman" w:eastAsia="仿宋_GB2312" w:cs="Times New Roman"/>
          <w:color w:val="000000"/>
          <w:sz w:val="30"/>
          <w:szCs w:val="30"/>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spacing w:line="360" w:lineRule="exact"/>
        <w:ind w:firstLine="600" w:firstLineChars="200"/>
        <w:jc w:val="both"/>
        <w:textAlignment w:val="auto"/>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0"/>
          <w:szCs w:val="30"/>
          <w:lang w:eastAsia="zh-CN"/>
        </w:rPr>
        <w:t>——支持方向和重点</w:t>
      </w:r>
    </w:p>
    <w:p>
      <w:pPr>
        <w:keepNext w:val="0"/>
        <w:keepLines w:val="0"/>
        <w:pageBreakBefore w:val="0"/>
        <w:widowControl w:val="0"/>
        <w:numPr>
          <w:ilvl w:val="0"/>
          <w:numId w:val="1"/>
        </w:numPr>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楷体_GB2312" w:cs="Times New Roman"/>
          <w:color w:val="000000"/>
          <w:sz w:val="30"/>
          <w:szCs w:val="30"/>
          <w:highlight w:val="none"/>
          <w:lang w:eastAsia="zh-CN"/>
        </w:rPr>
      </w:pPr>
      <w:r>
        <w:rPr>
          <w:rFonts w:hint="default" w:ascii="Times New Roman" w:hAnsi="Times New Roman" w:eastAsia="楷体_GB2312" w:cs="Times New Roman"/>
          <w:color w:val="000000"/>
          <w:sz w:val="30"/>
          <w:szCs w:val="30"/>
          <w:highlight w:val="none"/>
          <w:lang w:eastAsia="zh-CN"/>
        </w:rPr>
        <w:t>国（境）外高端人才引进项目。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1.</w:t>
      </w:r>
      <w:r>
        <w:rPr>
          <w:rFonts w:hint="default" w:ascii="Times New Roman" w:hAnsi="Times New Roman" w:eastAsia="仿宋_GB2312" w:cs="Times New Roman"/>
          <w:color w:val="000000"/>
          <w:sz w:val="30"/>
          <w:szCs w:val="30"/>
          <w:lang w:eastAsia="zh-CN"/>
        </w:rPr>
        <w:t>现代工业体系重点领域。围绕现代工业“5+1”，重点支持大数据、智能装备、轨道交通、集成电路与新型显示、节能环保（灾害防治和生态修复、碳中和技术）、绿色化工、清洁能源、软件与信息服务、农产品精深加工、优质白酒、精制川茶、新一代人工智能、新材料、新能源与智能汽车、新一代网络技术、医药健康、航空与燃机等领域，引进国（境）外高层次专家和创新团队，以及具有跨国经营、跨文化管理能力的国（境）外企业家和战略规划人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2.现代农业体系重点领域。</w:t>
      </w:r>
      <w:r>
        <w:rPr>
          <w:rFonts w:hint="default" w:ascii="Times New Roman" w:hAnsi="Times New Roman" w:eastAsia="仿宋_GB2312" w:cs="Times New Roman"/>
          <w:color w:val="000000"/>
          <w:sz w:val="30"/>
          <w:szCs w:val="30"/>
          <w:lang w:eastAsia="zh-CN"/>
        </w:rPr>
        <w:t>围绕现代农业“</w:t>
      </w:r>
      <w:r>
        <w:rPr>
          <w:rFonts w:hint="default" w:ascii="Times New Roman" w:hAnsi="Times New Roman" w:eastAsia="仿宋_GB2312" w:cs="Times New Roman"/>
          <w:color w:val="000000"/>
          <w:sz w:val="30"/>
          <w:szCs w:val="30"/>
          <w:lang w:val="en-US" w:eastAsia="zh-CN"/>
        </w:rPr>
        <w:t>10+3</w:t>
      </w:r>
      <w:r>
        <w:rPr>
          <w:rFonts w:hint="default" w:ascii="Times New Roman" w:hAnsi="Times New Roman" w:eastAsia="仿宋_GB2312" w:cs="Times New Roman"/>
          <w:color w:val="000000"/>
          <w:sz w:val="30"/>
          <w:szCs w:val="30"/>
          <w:lang w:eastAsia="zh-CN"/>
        </w:rPr>
        <w:t>”，重点支持川猪、川竹、川牛羊（饲草畜禽）、</w:t>
      </w:r>
      <w:r>
        <w:rPr>
          <w:rFonts w:hint="default" w:ascii="Times New Roman" w:hAnsi="Times New Roman" w:eastAsia="仿宋_GB2312" w:cs="Times New Roman"/>
          <w:color w:val="000000"/>
          <w:sz w:val="30"/>
          <w:szCs w:val="30"/>
          <w:lang w:val="en-US" w:eastAsia="zh-CN"/>
        </w:rPr>
        <w:t>川菜（椒）、川茶、川果（桑）、川酒（烟）、川粮油、川药、川鱼</w:t>
      </w:r>
      <w:r>
        <w:rPr>
          <w:rFonts w:hint="default" w:ascii="Times New Roman" w:hAnsi="Times New Roman" w:eastAsia="仿宋_GB2312" w:cs="Times New Roman"/>
          <w:color w:val="000000"/>
          <w:sz w:val="30"/>
          <w:szCs w:val="30"/>
          <w:lang w:eastAsia="zh-CN"/>
        </w:rPr>
        <w:t>和现代农业种业、现代农业装备、现代农业冷链物流等产业领域，引进国（境）外农业技术专家和创新团队，以及生产经营管理人才。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3.现代服务业体系重点领域。</w:t>
      </w:r>
      <w:r>
        <w:rPr>
          <w:rFonts w:hint="default" w:ascii="Times New Roman" w:hAnsi="Times New Roman" w:eastAsia="仿宋_GB2312" w:cs="Times New Roman"/>
          <w:color w:val="000000"/>
          <w:sz w:val="30"/>
          <w:szCs w:val="30"/>
          <w:lang w:eastAsia="zh-CN"/>
        </w:rPr>
        <w:t>围绕现代服务业“4+6”，重点支持商业贸易、现代物流、文体旅游、金融服务、科技信息服务、商务会展服务、川派餐饮服务、家庭社区服务、医疗康养服务等领域，引进具有较高学术造诣、实践经验丰富的国（境）外专家和创新团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楷体_GB2312" w:cs="Times New Roman"/>
          <w:b w:val="0"/>
          <w:bCs w:val="0"/>
          <w:color w:val="000000"/>
          <w:sz w:val="30"/>
          <w:szCs w:val="30"/>
          <w:highlight w:val="none"/>
          <w:lang w:eastAsia="zh-CN"/>
        </w:rPr>
      </w:pPr>
      <w:r>
        <w:rPr>
          <w:rFonts w:hint="default" w:ascii="Times New Roman" w:hAnsi="Times New Roman" w:eastAsia="楷体_GB2312" w:cs="Times New Roman"/>
          <w:b w:val="0"/>
          <w:bCs w:val="0"/>
          <w:color w:val="000000"/>
          <w:sz w:val="30"/>
          <w:szCs w:val="30"/>
          <w:highlight w:val="none"/>
          <w:lang w:eastAsia="zh-CN"/>
        </w:rPr>
        <w:t>（二）引智成果示范推广项目。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支持我省企业、科研院所、医疗卫生机构、高校示范推广通过自身开展引进国（境）外智力工作而形成的具有推广价值、应用价值的成果，或采用“二次引进”的方式，引进和推广适宜在我省应用推广的引智成果。重点支持以下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现代工业体系重点领域。围绕现代工业“5+1”，重点支持智能装备、大数据、集成电路与新型显示、农产品精深加工、节能环保（灾害防治和生态修复、碳中和技术）、绿色化工、清洁能源、新材料、新一代网络技术、医药健康等领域的引智成果示范推广及产业化。</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2.现代农业体系重点领域。围绕现代农业“10+3”，重点支持川菜（椒）、川粮油、川鱼、川猪、川牛羊（饲草畜禽）和现代农业种业等领域的引智成果示范推广及产业化。</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3.现代服务业体系重点领域。围绕现代服务业“4+6”，重点支持科技信息服务、医疗康养服务等领域的引智成果示范推广及产业化。</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spacing w:line="360" w:lineRule="exact"/>
        <w:ind w:firstLine="600" w:firstLineChars="200"/>
        <w:jc w:val="both"/>
        <w:textAlignment w:val="auto"/>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0"/>
          <w:szCs w:val="30"/>
          <w:lang w:eastAsia="zh-CN"/>
        </w:rPr>
        <w:t>——有关要求及注意事项</w:t>
      </w:r>
    </w:p>
    <w:p>
      <w:pPr>
        <w:keepNext w:val="0"/>
        <w:keepLines w:val="0"/>
        <w:pageBreakBefore w:val="0"/>
        <w:widowControl w:val="0"/>
        <w:suppressAutoHyphens/>
        <w:kinsoku/>
        <w:wordWrap/>
        <w:overflowPunct/>
        <w:topLinePunct w:val="0"/>
        <w:autoSpaceDE/>
        <w:autoSpaceDN/>
        <w:bidi w:val="0"/>
        <w:snapToGrid/>
        <w:spacing w:line="360" w:lineRule="exact"/>
        <w:ind w:firstLine="640"/>
        <w:jc w:val="both"/>
        <w:textAlignment w:val="auto"/>
        <w:rPr>
          <w:rFonts w:hint="default" w:ascii="Times New Roman" w:hAnsi="Times New Roman" w:eastAsia="楷体" w:cs="Times New Roman"/>
          <w:color w:val="000000"/>
          <w:sz w:val="30"/>
          <w:szCs w:val="30"/>
          <w:lang w:eastAsia="zh-CN"/>
        </w:rPr>
      </w:pPr>
      <w:r>
        <w:rPr>
          <w:rFonts w:hint="default" w:ascii="Times New Roman" w:hAnsi="Times New Roman" w:eastAsia="楷体" w:cs="Times New Roman"/>
          <w:color w:val="000000"/>
          <w:sz w:val="30"/>
          <w:szCs w:val="30"/>
        </w:rPr>
        <w:t>（一）项目负责人要求</w:t>
      </w:r>
      <w:r>
        <w:rPr>
          <w:rFonts w:hint="default" w:ascii="Times New Roman" w:hAnsi="Times New Roman" w:eastAsia="楷体" w:cs="Times New Roman"/>
          <w:color w:val="000000"/>
          <w:sz w:val="30"/>
          <w:szCs w:val="30"/>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项目负责人应符合“四川省科技计划项目负责人条件要求”。其中，国（境）外高端人才引进项目不受四川省科技计划项目重复申报限制，</w:t>
      </w:r>
      <w:r>
        <w:rPr>
          <w:rFonts w:hint="default" w:ascii="Times New Roman" w:hAnsi="Times New Roman" w:eastAsia="仿宋_GB2312" w:cs="Times New Roman"/>
          <w:b/>
          <w:bCs/>
          <w:color w:val="000000"/>
          <w:sz w:val="30"/>
          <w:szCs w:val="30"/>
          <w:lang w:val="en-US" w:eastAsia="zh-CN"/>
        </w:rPr>
        <w:t>项目负责人在承担省科技计划项目的同时，可承担省国（境）外高端人才引进项目。</w:t>
      </w:r>
    </w:p>
    <w:p>
      <w:pPr>
        <w:keepNext w:val="0"/>
        <w:keepLines w:val="0"/>
        <w:pageBreakBefore w:val="0"/>
        <w:widowControl w:val="0"/>
        <w:numPr>
          <w:ilvl w:val="0"/>
          <w:numId w:val="1"/>
        </w:numPr>
        <w:suppressAutoHyphens/>
        <w:kinsoku/>
        <w:wordWrap/>
        <w:overflowPunct/>
        <w:topLinePunct w:val="0"/>
        <w:autoSpaceDE/>
        <w:autoSpaceDN/>
        <w:bidi w:val="0"/>
        <w:snapToGrid/>
        <w:spacing w:line="360" w:lineRule="exact"/>
        <w:ind w:left="0" w:leftChars="0" w:firstLine="600" w:firstLineChars="200"/>
        <w:jc w:val="both"/>
        <w:textAlignment w:val="auto"/>
        <w:rPr>
          <w:rFonts w:hint="default" w:ascii="Times New Roman" w:hAnsi="Times New Roman" w:eastAsia="楷体" w:cs="Times New Roman"/>
          <w:color w:val="000000"/>
          <w:sz w:val="30"/>
          <w:szCs w:val="30"/>
        </w:rPr>
      </w:pPr>
      <w:r>
        <w:rPr>
          <w:rFonts w:hint="default" w:ascii="Times New Roman" w:hAnsi="Times New Roman" w:eastAsia="楷体" w:cs="Times New Roman"/>
          <w:color w:val="000000"/>
          <w:sz w:val="30"/>
          <w:szCs w:val="30"/>
        </w:rPr>
        <w:t>申报单位要求</w:t>
      </w:r>
      <w:r>
        <w:rPr>
          <w:rFonts w:hint="default" w:ascii="Times New Roman" w:hAnsi="Times New Roman" w:eastAsia="楷体" w:cs="Times New Roman"/>
          <w:color w:val="000000"/>
          <w:sz w:val="30"/>
          <w:szCs w:val="30"/>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牵头申报单位须是依法在四川境内设立，具有独立法人资格的企业、科研院所和高校等企事业单位，并建立了完善的财务管理制度。</w:t>
      </w:r>
    </w:p>
    <w:p>
      <w:pPr>
        <w:keepNext w:val="0"/>
        <w:keepLines w:val="0"/>
        <w:pageBreakBefore w:val="0"/>
        <w:widowControl w:val="0"/>
        <w:numPr>
          <w:ilvl w:val="0"/>
          <w:numId w:val="0"/>
        </w:numPr>
        <w:suppressAutoHyphens/>
        <w:kinsoku/>
        <w:wordWrap/>
        <w:overflowPunct/>
        <w:topLinePunct w:val="0"/>
        <w:autoSpaceDE/>
        <w:autoSpaceDN/>
        <w:bidi w:val="0"/>
        <w:snapToGrid/>
        <w:spacing w:line="360" w:lineRule="exact"/>
        <w:ind w:leftChars="200"/>
        <w:jc w:val="both"/>
        <w:textAlignment w:val="auto"/>
        <w:rPr>
          <w:rFonts w:hint="default" w:ascii="Times New Roman" w:hAnsi="Times New Roman" w:eastAsia="楷体" w:cs="Times New Roman"/>
          <w:color w:val="000000"/>
          <w:sz w:val="30"/>
          <w:szCs w:val="30"/>
          <w:lang w:val="en-US" w:eastAsia="zh-CN"/>
        </w:rPr>
      </w:pPr>
      <w:r>
        <w:rPr>
          <w:rFonts w:hint="default" w:ascii="Times New Roman" w:hAnsi="Times New Roman" w:eastAsia="楷体" w:cs="Times New Roman"/>
          <w:color w:val="000000"/>
          <w:sz w:val="30"/>
          <w:szCs w:val="30"/>
          <w:lang w:eastAsia="zh-CN"/>
        </w:rPr>
        <w:t>（</w:t>
      </w:r>
      <w:r>
        <w:rPr>
          <w:rFonts w:hint="default" w:ascii="Times New Roman" w:hAnsi="Times New Roman" w:eastAsia="楷体" w:cs="Times New Roman"/>
          <w:color w:val="000000"/>
          <w:sz w:val="30"/>
          <w:szCs w:val="30"/>
          <w:lang w:val="en-US" w:eastAsia="zh-CN"/>
        </w:rPr>
        <w:t>三）项目申报要求。</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rPr>
      </w:pPr>
      <w:r>
        <w:rPr>
          <w:rFonts w:hint="default" w:ascii="Times New Roman" w:hAnsi="Times New Roman" w:eastAsia="仿宋_GB2312" w:cs="Times New Roman"/>
          <w:b w:val="0"/>
          <w:bCs w:val="0"/>
          <w:color w:val="000000"/>
          <w:sz w:val="30"/>
          <w:szCs w:val="30"/>
          <w:lang w:val="en-US" w:eastAsia="zh-CN"/>
        </w:rPr>
        <w:t>1.</w:t>
      </w:r>
      <w:r>
        <w:rPr>
          <w:rFonts w:hint="default" w:ascii="Times New Roman" w:hAnsi="Times New Roman" w:eastAsia="仿宋_GB2312" w:cs="Times New Roman"/>
          <w:b w:val="0"/>
          <w:bCs w:val="0"/>
          <w:color w:val="000000"/>
          <w:sz w:val="30"/>
          <w:szCs w:val="30"/>
          <w:highlight w:val="none"/>
          <w:lang w:eastAsia="zh-CN"/>
        </w:rPr>
        <w:t>国（境）外高端人才引进项目申报要求。</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lang w:val="en-US" w:eastAsia="zh-CN"/>
        </w:rPr>
      </w:pPr>
      <w:r>
        <w:rPr>
          <w:rFonts w:hint="default" w:ascii="Times New Roman" w:hAnsi="Times New Roman" w:eastAsia="仿宋_GB2312" w:cs="Times New Roman"/>
          <w:b w:val="0"/>
          <w:bCs w:val="0"/>
          <w:color w:val="000000"/>
          <w:sz w:val="30"/>
          <w:szCs w:val="30"/>
          <w:lang w:eastAsia="zh-CN"/>
        </w:rPr>
        <w:t>（</w:t>
      </w:r>
      <w:r>
        <w:rPr>
          <w:rFonts w:hint="default" w:ascii="Times New Roman" w:hAnsi="Times New Roman" w:eastAsia="仿宋_GB2312" w:cs="Times New Roman"/>
          <w:b w:val="0"/>
          <w:bCs w:val="0"/>
          <w:color w:val="000000"/>
          <w:sz w:val="30"/>
          <w:szCs w:val="30"/>
          <w:lang w:val="en-US" w:eastAsia="zh-CN"/>
        </w:rPr>
        <w:t>1）</w:t>
      </w:r>
      <w:r>
        <w:rPr>
          <w:rFonts w:hint="default" w:ascii="Times New Roman" w:hAnsi="Times New Roman" w:eastAsia="仿宋_GB2312" w:cs="Times New Roman"/>
          <w:b w:val="0"/>
          <w:bCs w:val="0"/>
          <w:color w:val="000000"/>
          <w:sz w:val="30"/>
          <w:szCs w:val="30"/>
        </w:rPr>
        <w:t>应以工作内容（研究方向或技术目标）为基础申报项目，围绕同一工作内容聘请多位外国专家的，应按照一个项目申报。原则上同一独立法人单位申报不超过2项</w:t>
      </w:r>
      <w:r>
        <w:rPr>
          <w:rFonts w:hint="default" w:ascii="Times New Roman" w:hAnsi="Times New Roman" w:eastAsia="仿宋_GB2312" w:cs="Times New Roman"/>
          <w:b w:val="0"/>
          <w:bCs w:val="0"/>
          <w:color w:val="000000"/>
          <w:sz w:val="30"/>
          <w:szCs w:val="30"/>
          <w:lang w:eastAsia="zh-CN"/>
        </w:rPr>
        <w:t>（高等院校、中央驻川科研单位除外）</w:t>
      </w:r>
      <w:r>
        <w:rPr>
          <w:rFonts w:hint="default" w:ascii="Times New Roman" w:hAnsi="Times New Roman" w:eastAsia="仿宋_GB2312" w:cs="Times New Roman"/>
          <w:b w:val="0"/>
          <w:bCs w:val="0"/>
          <w:color w:val="000000"/>
          <w:sz w:val="30"/>
          <w:szCs w:val="30"/>
          <w:lang w:val="en"/>
        </w:rPr>
        <w:t>,</w:t>
      </w:r>
      <w:r>
        <w:rPr>
          <w:rFonts w:hint="default" w:ascii="Times New Roman" w:hAnsi="Times New Roman" w:eastAsia="仿宋_GB2312" w:cs="Times New Roman"/>
          <w:b w:val="0"/>
          <w:bCs w:val="0"/>
          <w:color w:val="000000"/>
          <w:sz w:val="30"/>
          <w:szCs w:val="30"/>
          <w:lang w:val="en" w:eastAsia="zh-CN"/>
        </w:rPr>
        <w:t>目前承担有国（境）外高端人才引进项目且尚未完成执行评价工作还在限制申报期内的项目负责人不得申报</w:t>
      </w:r>
      <w:r>
        <w:rPr>
          <w:rFonts w:hint="default" w:ascii="Times New Roman" w:hAnsi="Times New Roman" w:eastAsia="仿宋_GB2312" w:cs="Times New Roman"/>
          <w:b w:val="0"/>
          <w:bCs w:val="0"/>
          <w:color w:val="000000"/>
          <w:sz w:val="30"/>
          <w:szCs w:val="30"/>
          <w:lang w:val="en-US" w:eastAsia="zh-CN"/>
        </w:rPr>
        <w:t>。</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lang w:val="en-US" w:eastAsia="zh-CN"/>
        </w:rPr>
      </w:pPr>
      <w:r>
        <w:rPr>
          <w:rFonts w:hint="default" w:ascii="Times New Roman" w:hAnsi="Times New Roman" w:eastAsia="仿宋_GB2312" w:cs="Times New Roman"/>
          <w:b w:val="0"/>
          <w:bCs w:val="0"/>
          <w:color w:val="000000"/>
          <w:sz w:val="30"/>
          <w:szCs w:val="30"/>
          <w:lang w:eastAsia="zh-CN"/>
        </w:rPr>
        <w:t>（</w:t>
      </w:r>
      <w:r>
        <w:rPr>
          <w:rFonts w:hint="default" w:ascii="Times New Roman" w:hAnsi="Times New Roman" w:eastAsia="仿宋_GB2312" w:cs="Times New Roman"/>
          <w:b w:val="0"/>
          <w:bCs w:val="0"/>
          <w:color w:val="000000"/>
          <w:sz w:val="30"/>
          <w:szCs w:val="30"/>
          <w:lang w:val="en-US" w:eastAsia="zh-CN"/>
        </w:rPr>
        <w:t>2）</w:t>
      </w:r>
      <w:r>
        <w:rPr>
          <w:rFonts w:hint="default" w:ascii="Times New Roman" w:hAnsi="Times New Roman" w:eastAsia="仿宋_GB2312" w:cs="Times New Roman"/>
          <w:b w:val="0"/>
          <w:bCs w:val="0"/>
          <w:color w:val="000000"/>
          <w:sz w:val="30"/>
          <w:szCs w:val="30"/>
        </w:rPr>
        <w:t>申请专家工薪的，应提供专家与单位签署的工薪合同、协议或其他相关文件扫描件，并将原件留存备查</w:t>
      </w:r>
      <w:r>
        <w:rPr>
          <w:rFonts w:hint="default" w:ascii="Times New Roman" w:hAnsi="Times New Roman" w:eastAsia="仿宋_GB2312" w:cs="Times New Roman"/>
          <w:b w:val="0"/>
          <w:bCs w:val="0"/>
          <w:color w:val="000000"/>
          <w:sz w:val="30"/>
          <w:szCs w:val="30"/>
          <w:lang w:eastAsia="zh-CN"/>
        </w:rPr>
        <w:t>，申请工薪无比例限制</w:t>
      </w:r>
      <w:r>
        <w:rPr>
          <w:rFonts w:hint="default" w:ascii="Times New Roman" w:hAnsi="Times New Roman" w:eastAsia="仿宋_GB2312" w:cs="Times New Roman"/>
          <w:b w:val="0"/>
          <w:bCs w:val="0"/>
          <w:color w:val="000000"/>
          <w:sz w:val="30"/>
          <w:szCs w:val="30"/>
        </w:rPr>
        <w:t>。</w:t>
      </w:r>
      <w:r>
        <w:rPr>
          <w:rFonts w:hint="default" w:ascii="Times New Roman" w:hAnsi="Times New Roman" w:eastAsia="仿宋_GB2312" w:cs="Times New Roman"/>
          <w:b w:val="0"/>
          <w:bCs w:val="0"/>
          <w:color w:val="000000"/>
          <w:sz w:val="30"/>
          <w:szCs w:val="30"/>
          <w:lang w:eastAsia="zh-CN"/>
        </w:rPr>
        <w:t>未建立劳动关系，申请专家咨询费（讲课费）的，申请上限标准为每人每次</w:t>
      </w:r>
      <w:r>
        <w:rPr>
          <w:rFonts w:hint="default" w:ascii="Times New Roman" w:hAnsi="Times New Roman" w:eastAsia="仿宋_GB2312" w:cs="Times New Roman"/>
          <w:b w:val="0"/>
          <w:bCs w:val="0"/>
          <w:color w:val="000000"/>
          <w:sz w:val="30"/>
          <w:szCs w:val="30"/>
          <w:lang w:val="en-US" w:eastAsia="zh-CN"/>
        </w:rPr>
        <w:t>3000元；申请专家补贴的，申请上限标准为每人每天1000元。每位专家的工薪、专家咨询费（讲课费）、专家补贴只能选择一种方式申请。</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lang w:val="en-US" w:eastAsia="zh-CN"/>
        </w:rPr>
      </w:pPr>
      <w:r>
        <w:rPr>
          <w:rFonts w:hint="default" w:ascii="Times New Roman" w:hAnsi="Times New Roman" w:eastAsia="仿宋_GB2312" w:cs="Times New Roman"/>
          <w:b w:val="0"/>
          <w:bCs w:val="0"/>
          <w:color w:val="000000"/>
          <w:sz w:val="30"/>
          <w:szCs w:val="30"/>
          <w:lang w:eastAsia="zh-CN"/>
        </w:rPr>
        <w:t>（</w:t>
      </w:r>
      <w:r>
        <w:rPr>
          <w:rFonts w:hint="default" w:ascii="Times New Roman" w:hAnsi="Times New Roman" w:eastAsia="仿宋_GB2312" w:cs="Times New Roman"/>
          <w:b w:val="0"/>
          <w:bCs w:val="0"/>
          <w:color w:val="000000"/>
          <w:sz w:val="30"/>
          <w:szCs w:val="30"/>
          <w:lang w:val="en-US" w:eastAsia="zh-CN"/>
        </w:rPr>
        <w:t>3）</w:t>
      </w:r>
      <w:r>
        <w:rPr>
          <w:rFonts w:hint="default" w:ascii="Times New Roman" w:hAnsi="Times New Roman" w:eastAsia="仿宋_GB2312" w:cs="Times New Roman"/>
          <w:b w:val="0"/>
          <w:bCs w:val="0"/>
          <w:color w:val="000000"/>
          <w:sz w:val="30"/>
          <w:szCs w:val="30"/>
          <w:lang w:eastAsia="zh-CN"/>
        </w:rPr>
        <w:t>申请人才引进服务费的，需提供项目申报前一年内（以项目申报截止日期计算）通过人力资源服务机构成功引进国（境）外专家（来川工作前全职工作单位为国（境）外单位，与项目依托单位已签约，全职工作年限不少于三年且按时到岗履职依法纳税）的相关到岗证明材料，以及项目单位与人力资源服务机构签订的人才推荐服务合同、项目单位与人才签订的劳动合同、专家纳税证明。申请额度不超过服务费的</w:t>
      </w:r>
      <w:r>
        <w:rPr>
          <w:rFonts w:hint="default" w:ascii="Times New Roman" w:hAnsi="Times New Roman" w:eastAsia="仿宋_GB2312" w:cs="Times New Roman"/>
          <w:b w:val="0"/>
          <w:bCs w:val="0"/>
          <w:color w:val="000000"/>
          <w:sz w:val="30"/>
          <w:szCs w:val="30"/>
          <w:lang w:val="en-US" w:eastAsia="zh-CN"/>
        </w:rPr>
        <w:t>50%，申请上限30万元。</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rPr>
      </w:pPr>
      <w:r>
        <w:rPr>
          <w:rFonts w:hint="default" w:ascii="Times New Roman" w:hAnsi="Times New Roman" w:eastAsia="仿宋_GB2312" w:cs="Times New Roman"/>
          <w:b w:val="0"/>
          <w:bCs w:val="0"/>
          <w:color w:val="000000"/>
          <w:sz w:val="30"/>
          <w:szCs w:val="30"/>
          <w:lang w:eastAsia="zh-CN"/>
        </w:rPr>
        <w:t>（</w:t>
      </w:r>
      <w:r>
        <w:rPr>
          <w:rFonts w:hint="default" w:ascii="Times New Roman" w:hAnsi="Times New Roman" w:eastAsia="仿宋_GB2312" w:cs="Times New Roman"/>
          <w:b w:val="0"/>
          <w:bCs w:val="0"/>
          <w:color w:val="000000"/>
          <w:sz w:val="30"/>
          <w:szCs w:val="30"/>
          <w:lang w:val="en-US" w:eastAsia="zh-CN"/>
        </w:rPr>
        <w:t>4）</w:t>
      </w:r>
      <w:r>
        <w:rPr>
          <w:rFonts w:hint="default" w:ascii="Times New Roman" w:hAnsi="Times New Roman" w:eastAsia="仿宋_GB2312" w:cs="Times New Roman"/>
          <w:b w:val="0"/>
          <w:bCs w:val="0"/>
          <w:color w:val="000000"/>
          <w:sz w:val="30"/>
          <w:szCs w:val="30"/>
        </w:rPr>
        <w:t>应依法依规开展外国专家引进工作，严格遵守在知识产权、同业禁止、聘用及薪酬等方面的法律规定，按照国际惯例与通行做法，推进互利共赢合作。</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rPr>
      </w:pPr>
      <w:r>
        <w:rPr>
          <w:rFonts w:hint="default" w:ascii="Times New Roman" w:hAnsi="Times New Roman" w:eastAsia="仿宋_GB2312" w:cs="Times New Roman"/>
          <w:b w:val="0"/>
          <w:bCs w:val="0"/>
          <w:color w:val="000000"/>
          <w:sz w:val="30"/>
          <w:szCs w:val="30"/>
          <w:lang w:val="en-US" w:eastAsia="zh-CN"/>
        </w:rPr>
        <w:t>（5）鼓励国家和省级高新技术产业开发区内企业、科研院所申报项目。</w:t>
      </w:r>
      <w:r>
        <w:rPr>
          <w:rFonts w:hint="default" w:ascii="Times New Roman" w:hAnsi="Times New Roman" w:eastAsia="仿宋_GB2312" w:cs="Times New Roman"/>
          <w:b w:val="0"/>
          <w:bCs w:val="0"/>
          <w:color w:val="000000"/>
          <w:sz w:val="30"/>
          <w:szCs w:val="30"/>
        </w:rPr>
        <w:t>对此类申报项目，</w:t>
      </w:r>
      <w:r>
        <w:rPr>
          <w:rFonts w:hint="default" w:ascii="Times New Roman" w:hAnsi="Times New Roman" w:eastAsia="仿宋_GB2312" w:cs="Times New Roman"/>
          <w:b w:val="0"/>
          <w:bCs w:val="0"/>
          <w:color w:val="000000"/>
          <w:sz w:val="30"/>
          <w:szCs w:val="30"/>
          <w:lang w:eastAsia="zh-CN"/>
        </w:rPr>
        <w:t>同等条件下</w:t>
      </w:r>
      <w:r>
        <w:rPr>
          <w:rFonts w:hint="default" w:ascii="Times New Roman" w:hAnsi="Times New Roman" w:eastAsia="仿宋_GB2312" w:cs="Times New Roman"/>
          <w:b w:val="0"/>
          <w:bCs w:val="0"/>
          <w:color w:val="000000"/>
          <w:sz w:val="30"/>
          <w:szCs w:val="30"/>
        </w:rPr>
        <w:t>给予</w:t>
      </w:r>
      <w:r>
        <w:rPr>
          <w:rFonts w:hint="default" w:ascii="Times New Roman" w:hAnsi="Times New Roman" w:eastAsia="仿宋_GB2312" w:cs="Times New Roman"/>
          <w:b w:val="0"/>
          <w:bCs w:val="0"/>
          <w:color w:val="000000"/>
          <w:sz w:val="30"/>
          <w:szCs w:val="30"/>
          <w:lang w:eastAsia="zh-CN"/>
        </w:rPr>
        <w:t>优先支持</w:t>
      </w:r>
      <w:r>
        <w:rPr>
          <w:rFonts w:hint="default" w:ascii="Times New Roman" w:hAnsi="Times New Roman" w:eastAsia="仿宋_GB2312" w:cs="Times New Roman"/>
          <w:b w:val="0"/>
          <w:bCs w:val="0"/>
          <w:color w:val="000000"/>
          <w:sz w:val="30"/>
          <w:szCs w:val="30"/>
        </w:rPr>
        <w:t>。</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highlight w:val="none"/>
        </w:rPr>
      </w:pPr>
      <w:r>
        <w:rPr>
          <w:rFonts w:hint="default" w:ascii="Times New Roman" w:hAnsi="Times New Roman" w:eastAsia="仿宋_GB2312" w:cs="Times New Roman"/>
          <w:b w:val="0"/>
          <w:bCs w:val="0"/>
          <w:color w:val="000000"/>
          <w:sz w:val="30"/>
          <w:szCs w:val="30"/>
          <w:lang w:val="en-US" w:eastAsia="zh-CN"/>
        </w:rPr>
        <w:t>（6）鼓励申报单位依托国家和省</w:t>
      </w:r>
      <w:r>
        <w:rPr>
          <w:rFonts w:hint="default" w:ascii="Times New Roman" w:hAnsi="Times New Roman" w:eastAsia="仿宋_GB2312" w:cs="Times New Roman"/>
          <w:b w:val="0"/>
          <w:bCs w:val="0"/>
          <w:color w:val="000000"/>
          <w:sz w:val="30"/>
          <w:szCs w:val="30"/>
          <w:highlight w:val="none"/>
          <w:lang w:val="en-US" w:eastAsia="zh-CN"/>
        </w:rPr>
        <w:t>重点实验室、工程技术研究中心、临床医学研究中心等重大科技创新基地以及依托实施科技计划，全职引进国（境）一流科技人才和创新团队。</w:t>
      </w:r>
      <w:r>
        <w:rPr>
          <w:rFonts w:hint="default" w:ascii="Times New Roman" w:hAnsi="Times New Roman" w:eastAsia="仿宋_GB2312" w:cs="Times New Roman"/>
          <w:b w:val="0"/>
          <w:bCs w:val="0"/>
          <w:color w:val="000000"/>
          <w:sz w:val="30"/>
          <w:szCs w:val="30"/>
          <w:highlight w:val="none"/>
        </w:rPr>
        <w:t>对此类申报项目，</w:t>
      </w:r>
      <w:r>
        <w:rPr>
          <w:rFonts w:hint="default" w:ascii="Times New Roman" w:hAnsi="Times New Roman" w:eastAsia="仿宋_GB2312" w:cs="Times New Roman"/>
          <w:b w:val="0"/>
          <w:bCs w:val="0"/>
          <w:color w:val="000000"/>
          <w:sz w:val="30"/>
          <w:szCs w:val="30"/>
          <w:highlight w:val="none"/>
          <w:lang w:eastAsia="zh-CN"/>
        </w:rPr>
        <w:t>同等条件下</w:t>
      </w:r>
      <w:r>
        <w:rPr>
          <w:rFonts w:hint="default" w:ascii="Times New Roman" w:hAnsi="Times New Roman" w:eastAsia="仿宋_GB2312" w:cs="Times New Roman"/>
          <w:b w:val="0"/>
          <w:bCs w:val="0"/>
          <w:color w:val="000000"/>
          <w:sz w:val="30"/>
          <w:szCs w:val="30"/>
          <w:highlight w:val="none"/>
        </w:rPr>
        <w:t>给予</w:t>
      </w:r>
      <w:r>
        <w:rPr>
          <w:rFonts w:hint="default" w:ascii="Times New Roman" w:hAnsi="Times New Roman" w:eastAsia="仿宋_GB2312" w:cs="Times New Roman"/>
          <w:b w:val="0"/>
          <w:bCs w:val="0"/>
          <w:color w:val="000000"/>
          <w:sz w:val="30"/>
          <w:szCs w:val="30"/>
          <w:highlight w:val="none"/>
          <w:lang w:eastAsia="zh-CN"/>
        </w:rPr>
        <w:t>优先支持</w:t>
      </w:r>
      <w:r>
        <w:rPr>
          <w:rFonts w:hint="default" w:ascii="Times New Roman" w:hAnsi="Times New Roman" w:eastAsia="仿宋_GB2312" w:cs="Times New Roman"/>
          <w:b w:val="0"/>
          <w:bCs w:val="0"/>
          <w:color w:val="000000"/>
          <w:sz w:val="30"/>
          <w:szCs w:val="30"/>
          <w:highlight w:val="none"/>
        </w:rPr>
        <w:t>。</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rPr>
      </w:pPr>
      <w:r>
        <w:rPr>
          <w:rFonts w:hint="default" w:ascii="Times New Roman" w:hAnsi="Times New Roman" w:eastAsia="仿宋_GB2312" w:cs="Times New Roman"/>
          <w:b w:val="0"/>
          <w:bCs w:val="0"/>
          <w:color w:val="000000"/>
          <w:sz w:val="30"/>
          <w:szCs w:val="30"/>
          <w:lang w:val="en-US" w:eastAsia="zh-CN"/>
        </w:rPr>
        <w:t>（7）鼓励申报单位全职引进国（境）外高层次创新团队，开展关键核心技术攻关。</w:t>
      </w:r>
      <w:r>
        <w:rPr>
          <w:rFonts w:hint="default" w:ascii="Times New Roman" w:hAnsi="Times New Roman" w:eastAsia="仿宋_GB2312" w:cs="Times New Roman"/>
          <w:b w:val="0"/>
          <w:bCs w:val="0"/>
          <w:color w:val="000000"/>
          <w:sz w:val="30"/>
          <w:szCs w:val="30"/>
        </w:rPr>
        <w:t>对此类申报项目，</w:t>
      </w:r>
      <w:r>
        <w:rPr>
          <w:rFonts w:hint="default" w:ascii="Times New Roman" w:hAnsi="Times New Roman" w:eastAsia="仿宋_GB2312" w:cs="Times New Roman"/>
          <w:b w:val="0"/>
          <w:bCs w:val="0"/>
          <w:color w:val="000000"/>
          <w:sz w:val="30"/>
          <w:szCs w:val="30"/>
          <w:lang w:eastAsia="zh-CN"/>
        </w:rPr>
        <w:t>同等条件下</w:t>
      </w:r>
      <w:r>
        <w:rPr>
          <w:rFonts w:hint="default" w:ascii="Times New Roman" w:hAnsi="Times New Roman" w:eastAsia="仿宋_GB2312" w:cs="Times New Roman"/>
          <w:b w:val="0"/>
          <w:bCs w:val="0"/>
          <w:color w:val="000000"/>
          <w:sz w:val="30"/>
          <w:szCs w:val="30"/>
        </w:rPr>
        <w:t>给予</w:t>
      </w:r>
      <w:r>
        <w:rPr>
          <w:rFonts w:hint="default" w:ascii="Times New Roman" w:hAnsi="Times New Roman" w:eastAsia="仿宋_GB2312" w:cs="Times New Roman"/>
          <w:b w:val="0"/>
          <w:bCs w:val="0"/>
          <w:color w:val="000000"/>
          <w:sz w:val="30"/>
          <w:szCs w:val="30"/>
          <w:lang w:eastAsia="zh-CN"/>
        </w:rPr>
        <w:t>优先支持</w:t>
      </w:r>
      <w:r>
        <w:rPr>
          <w:rFonts w:hint="default" w:ascii="Times New Roman" w:hAnsi="Times New Roman" w:eastAsia="仿宋_GB2312" w:cs="Times New Roman"/>
          <w:b w:val="0"/>
          <w:bCs w:val="0"/>
          <w:color w:val="000000"/>
          <w:sz w:val="30"/>
          <w:szCs w:val="30"/>
        </w:rPr>
        <w:t>。</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rPr>
      </w:pPr>
      <w:r>
        <w:rPr>
          <w:rFonts w:hint="default" w:ascii="Times New Roman" w:hAnsi="Times New Roman" w:eastAsia="仿宋_GB2312" w:cs="Times New Roman"/>
          <w:b w:val="0"/>
          <w:bCs w:val="0"/>
          <w:color w:val="000000"/>
          <w:sz w:val="30"/>
          <w:szCs w:val="30"/>
          <w:lang w:val="en-US" w:eastAsia="zh-CN"/>
        </w:rPr>
        <w:t>（8）</w:t>
      </w:r>
      <w:r>
        <w:rPr>
          <w:rFonts w:hint="default" w:ascii="Times New Roman" w:hAnsi="Times New Roman" w:eastAsia="仿宋_GB2312" w:cs="Times New Roman"/>
          <w:b w:val="0"/>
          <w:bCs w:val="0"/>
          <w:color w:val="000000"/>
          <w:sz w:val="30"/>
          <w:szCs w:val="30"/>
        </w:rPr>
        <w:t>鼓励申报单位联合重庆相关单位申报项目，推动与重庆实现国（境）外人才智力共引共用。对此类联合申报项目，将适当给予政策倾斜。</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（9）企业牵头申报的，可根据项目执行实际需要配置自筹资金。</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val="0"/>
          <w:bCs/>
          <w:color w:val="000000"/>
          <w:sz w:val="30"/>
          <w:szCs w:val="30"/>
          <w:lang w:val="en-US" w:eastAsia="zh-CN"/>
        </w:rPr>
        <w:t>2.引智成果示范推广项目申报要求。</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rPr>
      </w:pPr>
      <w:r>
        <w:rPr>
          <w:rFonts w:hint="default" w:ascii="Times New Roman" w:hAnsi="Times New Roman" w:eastAsia="仿宋_GB2312" w:cs="Times New Roman"/>
          <w:b w:val="0"/>
          <w:bCs w:val="0"/>
          <w:color w:val="000000"/>
          <w:sz w:val="30"/>
          <w:szCs w:val="30"/>
          <w:lang w:val="en-US" w:eastAsia="zh-CN"/>
        </w:rPr>
        <w:t>（1）</w:t>
      </w:r>
      <w:r>
        <w:rPr>
          <w:rFonts w:hint="default" w:ascii="Times New Roman" w:hAnsi="Times New Roman" w:eastAsia="仿宋_GB2312" w:cs="Times New Roman"/>
          <w:b w:val="0"/>
          <w:bCs w:val="0"/>
          <w:color w:val="000000"/>
          <w:sz w:val="30"/>
          <w:szCs w:val="30"/>
        </w:rPr>
        <w:t>企业牵头申报的项目，项目自筹经费与专项经费比例不低于1:1</w:t>
      </w:r>
      <w:r>
        <w:rPr>
          <w:rFonts w:hint="default" w:ascii="Times New Roman" w:hAnsi="Times New Roman" w:eastAsia="仿宋_GB2312" w:cs="Times New Roman"/>
          <w:b w:val="0"/>
          <w:bCs w:val="0"/>
          <w:color w:val="000000"/>
          <w:sz w:val="30"/>
          <w:szCs w:val="30"/>
          <w:lang w:eastAsia="zh-CN"/>
        </w:rPr>
        <w:t>；</w:t>
      </w:r>
      <w:r>
        <w:rPr>
          <w:rFonts w:hint="default" w:ascii="Times New Roman" w:hAnsi="Times New Roman" w:eastAsia="仿宋_GB2312" w:cs="Times New Roman"/>
          <w:b w:val="0"/>
          <w:bCs w:val="0"/>
          <w:color w:val="000000"/>
          <w:sz w:val="30"/>
          <w:szCs w:val="30"/>
        </w:rPr>
        <w:t>高等院校、科研院所</w:t>
      </w:r>
      <w:r>
        <w:rPr>
          <w:rFonts w:hint="default" w:ascii="Times New Roman" w:hAnsi="Times New Roman" w:eastAsia="仿宋_GB2312" w:cs="Times New Roman"/>
          <w:b w:val="0"/>
          <w:bCs w:val="0"/>
          <w:color w:val="000000"/>
          <w:sz w:val="30"/>
          <w:szCs w:val="30"/>
          <w:lang w:eastAsia="zh-CN"/>
        </w:rPr>
        <w:t>牵头申报的项目，需与企业联合申报</w:t>
      </w:r>
      <w:r>
        <w:rPr>
          <w:rFonts w:hint="default" w:ascii="Times New Roman" w:hAnsi="Times New Roman" w:eastAsia="仿宋_GB2312" w:cs="Times New Roman"/>
          <w:b w:val="0"/>
          <w:bCs w:val="0"/>
          <w:color w:val="000000"/>
          <w:sz w:val="30"/>
          <w:szCs w:val="30"/>
        </w:rPr>
        <w:t>。</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rPr>
      </w:pPr>
      <w:r>
        <w:rPr>
          <w:rFonts w:hint="default" w:ascii="Times New Roman" w:hAnsi="Times New Roman" w:eastAsia="仿宋_GB2312" w:cs="Times New Roman"/>
          <w:b w:val="0"/>
          <w:bCs w:val="0"/>
          <w:color w:val="000000"/>
          <w:sz w:val="30"/>
          <w:szCs w:val="30"/>
          <w:lang w:val="en-US" w:eastAsia="zh-CN"/>
        </w:rPr>
        <w:t>（2）鼓励位于国家和省级高新区内企业和科研院所申报项目。</w:t>
      </w:r>
      <w:r>
        <w:rPr>
          <w:rFonts w:hint="default" w:ascii="Times New Roman" w:hAnsi="Times New Roman" w:eastAsia="仿宋_GB2312" w:cs="Times New Roman"/>
          <w:b w:val="0"/>
          <w:bCs w:val="0"/>
          <w:color w:val="000000"/>
          <w:sz w:val="30"/>
          <w:szCs w:val="30"/>
        </w:rPr>
        <w:t>对此类申报项目，</w:t>
      </w:r>
      <w:r>
        <w:rPr>
          <w:rFonts w:hint="default" w:ascii="Times New Roman" w:hAnsi="Times New Roman" w:eastAsia="仿宋_GB2312" w:cs="Times New Roman"/>
          <w:b w:val="0"/>
          <w:bCs w:val="0"/>
          <w:color w:val="000000"/>
          <w:sz w:val="30"/>
          <w:szCs w:val="30"/>
          <w:lang w:eastAsia="zh-CN"/>
        </w:rPr>
        <w:t>同等条件下</w:t>
      </w:r>
      <w:r>
        <w:rPr>
          <w:rFonts w:hint="default" w:ascii="Times New Roman" w:hAnsi="Times New Roman" w:eastAsia="仿宋_GB2312" w:cs="Times New Roman"/>
          <w:b w:val="0"/>
          <w:bCs w:val="0"/>
          <w:color w:val="000000"/>
          <w:sz w:val="30"/>
          <w:szCs w:val="30"/>
        </w:rPr>
        <w:t>给予</w:t>
      </w:r>
      <w:r>
        <w:rPr>
          <w:rFonts w:hint="default" w:ascii="Times New Roman" w:hAnsi="Times New Roman" w:eastAsia="仿宋_GB2312" w:cs="Times New Roman"/>
          <w:b w:val="0"/>
          <w:bCs w:val="0"/>
          <w:color w:val="000000"/>
          <w:sz w:val="30"/>
          <w:szCs w:val="30"/>
          <w:lang w:eastAsia="zh-CN"/>
        </w:rPr>
        <w:t>优先支持</w:t>
      </w:r>
      <w:r>
        <w:rPr>
          <w:rFonts w:hint="default" w:ascii="Times New Roman" w:hAnsi="Times New Roman" w:eastAsia="仿宋_GB2312" w:cs="Times New Roman"/>
          <w:b w:val="0"/>
          <w:bCs w:val="0"/>
          <w:color w:val="000000"/>
          <w:sz w:val="30"/>
          <w:szCs w:val="30"/>
        </w:rPr>
        <w:t>。</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val="0"/>
          <w:bCs w:val="0"/>
          <w:color w:val="000000"/>
          <w:sz w:val="30"/>
          <w:szCs w:val="30"/>
        </w:rPr>
      </w:pPr>
      <w:r>
        <w:rPr>
          <w:rFonts w:hint="default" w:ascii="Times New Roman" w:hAnsi="Times New Roman" w:eastAsia="仿宋_GB2312" w:cs="Times New Roman"/>
          <w:b w:val="0"/>
          <w:bCs w:val="0"/>
          <w:color w:val="000000"/>
          <w:sz w:val="30"/>
          <w:szCs w:val="30"/>
          <w:highlight w:val="none"/>
          <w:lang w:val="en-US" w:eastAsia="zh-CN"/>
        </w:rPr>
        <w:t>（3）</w:t>
      </w:r>
      <w:r>
        <w:rPr>
          <w:rFonts w:hint="default" w:ascii="Times New Roman" w:hAnsi="Times New Roman" w:eastAsia="仿宋_GB2312" w:cs="Times New Roman"/>
          <w:b w:val="0"/>
          <w:bCs w:val="0"/>
          <w:color w:val="000000"/>
          <w:sz w:val="30"/>
          <w:szCs w:val="30"/>
          <w:highlight w:val="none"/>
        </w:rPr>
        <w:t>鼓</w:t>
      </w:r>
      <w:r>
        <w:rPr>
          <w:rFonts w:hint="default" w:ascii="Times New Roman" w:hAnsi="Times New Roman" w:eastAsia="仿宋_GB2312" w:cs="Times New Roman"/>
          <w:b w:val="0"/>
          <w:bCs w:val="0"/>
          <w:color w:val="000000"/>
          <w:sz w:val="30"/>
          <w:szCs w:val="30"/>
        </w:rPr>
        <w:t>励申报单位联合重庆相关单位申报项目，推动与重庆实现引智成果资源共享。对此类联合申报的项目，将适当给予政策倾斜。</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b/>
          <w:bCs/>
          <w:color w:val="000000"/>
          <w:sz w:val="30"/>
          <w:szCs w:val="30"/>
          <w:lang w:eastAsia="zh-CN"/>
        </w:rPr>
      </w:pPr>
      <w:r>
        <w:rPr>
          <w:rFonts w:hint="default" w:ascii="Times New Roman" w:hAnsi="Times New Roman" w:eastAsia="仿宋_GB2312" w:cs="Times New Roman"/>
          <w:b w:val="0"/>
          <w:bCs w:val="0"/>
          <w:color w:val="000000"/>
          <w:sz w:val="30"/>
          <w:szCs w:val="30"/>
          <w:lang w:eastAsia="zh-CN"/>
        </w:rPr>
        <w:t>（</w:t>
      </w:r>
      <w:r>
        <w:rPr>
          <w:rFonts w:hint="default" w:ascii="Times New Roman" w:hAnsi="Times New Roman" w:eastAsia="仿宋_GB2312" w:cs="Times New Roman"/>
          <w:b w:val="0"/>
          <w:bCs w:val="0"/>
          <w:color w:val="000000"/>
          <w:sz w:val="30"/>
          <w:szCs w:val="30"/>
          <w:lang w:val="en-US" w:eastAsia="zh-CN"/>
        </w:rPr>
        <w:t>4）</w:t>
      </w:r>
      <w:r>
        <w:rPr>
          <w:rFonts w:hint="default" w:ascii="Times New Roman" w:hAnsi="Times New Roman" w:eastAsia="仿宋_GB2312" w:cs="Times New Roman"/>
          <w:color w:val="000000"/>
          <w:sz w:val="30"/>
          <w:szCs w:val="30"/>
          <w:lang w:eastAsia="zh-CN"/>
        </w:rPr>
        <w:t>需提供引智成果来源相关证明材料，包括申报单位近年来实施的国际科技合作项目、外专引智项目、出国（境）培训项目等清单，近年来聘请国（境）外高端专家的工作照片、工作合同和咨询协议等。</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楷体_GB2312" w:cs="Times New Roman"/>
          <w:color w:val="000000"/>
          <w:sz w:val="30"/>
          <w:szCs w:val="30"/>
        </w:rPr>
      </w:pPr>
      <w:r>
        <w:rPr>
          <w:rFonts w:hint="default" w:ascii="Times New Roman" w:hAnsi="Times New Roman" w:eastAsia="楷体_GB2312" w:cs="Times New Roman"/>
          <w:color w:val="000000"/>
          <w:sz w:val="30"/>
          <w:szCs w:val="30"/>
        </w:rPr>
        <w:t>（</w:t>
      </w:r>
      <w:r>
        <w:rPr>
          <w:rFonts w:hint="default" w:ascii="Times New Roman" w:hAnsi="Times New Roman" w:eastAsia="楷体_GB2312" w:cs="Times New Roman"/>
          <w:color w:val="000000"/>
          <w:sz w:val="30"/>
          <w:szCs w:val="30"/>
          <w:lang w:eastAsia="zh-CN"/>
        </w:rPr>
        <w:t>四</w:t>
      </w:r>
      <w:r>
        <w:rPr>
          <w:rFonts w:hint="default" w:ascii="Times New Roman" w:hAnsi="Times New Roman" w:eastAsia="楷体_GB2312" w:cs="Times New Roman"/>
          <w:color w:val="000000"/>
          <w:sz w:val="30"/>
          <w:szCs w:val="30"/>
        </w:rPr>
        <w:t>）国（境）外</w:t>
      </w:r>
      <w:r>
        <w:rPr>
          <w:rFonts w:hint="default" w:ascii="Times New Roman" w:hAnsi="Times New Roman" w:eastAsia="楷体_GB2312" w:cs="Times New Roman"/>
          <w:color w:val="000000"/>
          <w:sz w:val="30"/>
          <w:szCs w:val="30"/>
          <w:lang w:eastAsia="zh-CN"/>
        </w:rPr>
        <w:t>高端人才</w:t>
      </w:r>
      <w:r>
        <w:rPr>
          <w:rFonts w:hint="default" w:ascii="Times New Roman" w:hAnsi="Times New Roman" w:eastAsia="楷体_GB2312" w:cs="Times New Roman"/>
          <w:color w:val="000000"/>
          <w:sz w:val="30"/>
          <w:szCs w:val="30"/>
        </w:rPr>
        <w:t>引进</w:t>
      </w:r>
      <w:r>
        <w:rPr>
          <w:rFonts w:hint="default" w:ascii="Times New Roman" w:hAnsi="Times New Roman" w:eastAsia="楷体_GB2312" w:cs="Times New Roman"/>
          <w:color w:val="000000"/>
          <w:sz w:val="30"/>
          <w:szCs w:val="30"/>
          <w:lang w:eastAsia="zh-CN"/>
        </w:rPr>
        <w:t>项目</w:t>
      </w:r>
      <w:r>
        <w:rPr>
          <w:rFonts w:hint="default" w:ascii="Times New Roman" w:hAnsi="Times New Roman" w:eastAsia="楷体_GB2312" w:cs="Times New Roman"/>
          <w:color w:val="000000"/>
          <w:sz w:val="30"/>
          <w:szCs w:val="30"/>
          <w:highlight w:val="none"/>
          <w:lang w:eastAsia="zh-CN"/>
        </w:rPr>
        <w:t>聘请专家要求。</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US" w:eastAsia="zh-CN"/>
        </w:rPr>
        <w:t>1.</w:t>
      </w:r>
      <w:r>
        <w:rPr>
          <w:rFonts w:hint="default" w:ascii="Times New Roman" w:hAnsi="Times New Roman" w:eastAsia="仿宋_GB2312" w:cs="Times New Roman"/>
          <w:color w:val="000000"/>
          <w:sz w:val="30"/>
          <w:szCs w:val="30"/>
        </w:rPr>
        <w:t xml:space="preserve">引进的专家须为外籍和港、澳、台人才，原则上年龄不超过70周岁，且符合下列条件之一： </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 w:eastAsia="zh-CN"/>
        </w:rPr>
        <w:t>（</w:t>
      </w:r>
      <w:r>
        <w:rPr>
          <w:rFonts w:hint="default" w:ascii="Times New Roman" w:hAnsi="Times New Roman" w:eastAsia="仿宋_GB2312" w:cs="Times New Roman"/>
          <w:color w:val="000000"/>
          <w:sz w:val="30"/>
          <w:szCs w:val="30"/>
          <w:lang w:val="en-US" w:eastAsia="zh-CN"/>
        </w:rPr>
        <w:t>1</w:t>
      </w:r>
      <w:r>
        <w:rPr>
          <w:rFonts w:hint="default" w:ascii="Times New Roman" w:hAnsi="Times New Roman" w:eastAsia="仿宋_GB2312" w:cs="Times New Roman"/>
          <w:color w:val="000000"/>
          <w:sz w:val="30"/>
          <w:szCs w:val="30"/>
          <w:lang w:val="en" w:eastAsia="zh-CN"/>
        </w:rPr>
        <w:t>）</w:t>
      </w:r>
      <w:r>
        <w:rPr>
          <w:rFonts w:hint="default" w:ascii="Times New Roman" w:hAnsi="Times New Roman" w:eastAsia="仿宋_GB2312" w:cs="Times New Roman"/>
          <w:color w:val="000000"/>
          <w:sz w:val="30"/>
          <w:szCs w:val="30"/>
        </w:rPr>
        <w:t>具有国际领先水平的战略性、领军型人才；</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 w:eastAsia="zh-CN"/>
        </w:rPr>
        <w:t>（</w:t>
      </w:r>
      <w:r>
        <w:rPr>
          <w:rFonts w:hint="default" w:ascii="Times New Roman" w:hAnsi="Times New Roman" w:eastAsia="仿宋_GB2312" w:cs="Times New Roman"/>
          <w:color w:val="000000"/>
          <w:sz w:val="30"/>
          <w:szCs w:val="30"/>
          <w:lang w:val="en-US" w:eastAsia="zh-CN"/>
        </w:rPr>
        <w:t>2</w:t>
      </w:r>
      <w:r>
        <w:rPr>
          <w:rFonts w:hint="default" w:ascii="Times New Roman" w:hAnsi="Times New Roman" w:eastAsia="仿宋_GB2312" w:cs="Times New Roman"/>
          <w:color w:val="000000"/>
          <w:sz w:val="30"/>
          <w:szCs w:val="30"/>
          <w:lang w:val="en" w:eastAsia="zh-CN"/>
        </w:rPr>
        <w:t>）</w:t>
      </w:r>
      <w:r>
        <w:rPr>
          <w:rFonts w:hint="default" w:ascii="Times New Roman" w:hAnsi="Times New Roman" w:eastAsia="仿宋_GB2312" w:cs="Times New Roman"/>
          <w:color w:val="000000"/>
          <w:sz w:val="30"/>
          <w:szCs w:val="30"/>
        </w:rPr>
        <w:t>引领国际科学发展趋势的战略科学家，从事基础研究、应用基础研究，或从事科学前沿探索和交叉研究、具有创新潜质的优秀科学家，或开展重大产业技术研究的科学家；</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 w:eastAsia="zh-CN"/>
        </w:rPr>
        <w:t>（</w:t>
      </w:r>
      <w:r>
        <w:rPr>
          <w:rFonts w:hint="default" w:ascii="Times New Roman" w:hAnsi="Times New Roman" w:eastAsia="仿宋_GB2312" w:cs="Times New Roman"/>
          <w:color w:val="000000"/>
          <w:sz w:val="30"/>
          <w:szCs w:val="30"/>
          <w:lang w:val="en-US" w:eastAsia="zh-CN"/>
        </w:rPr>
        <w:t>3</w:t>
      </w:r>
      <w:r>
        <w:rPr>
          <w:rFonts w:hint="default" w:ascii="Times New Roman" w:hAnsi="Times New Roman" w:eastAsia="仿宋_GB2312" w:cs="Times New Roman"/>
          <w:color w:val="000000"/>
          <w:sz w:val="30"/>
          <w:szCs w:val="30"/>
          <w:lang w:val="en" w:eastAsia="zh-CN"/>
        </w:rPr>
        <w:t>）</w:t>
      </w:r>
      <w:r>
        <w:rPr>
          <w:rFonts w:hint="default" w:ascii="Times New Roman" w:hAnsi="Times New Roman" w:eastAsia="仿宋_GB2312" w:cs="Times New Roman"/>
          <w:color w:val="000000"/>
          <w:sz w:val="30"/>
          <w:szCs w:val="30"/>
        </w:rPr>
        <w:t>在国（境）外高校、科研院所担任相当副教授及以上职务，且具有引进领域世界先进水平成果的专家学者；</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 w:eastAsia="zh-CN"/>
        </w:rPr>
        <w:t>（</w:t>
      </w:r>
      <w:r>
        <w:rPr>
          <w:rFonts w:hint="default" w:ascii="Times New Roman" w:hAnsi="Times New Roman" w:eastAsia="仿宋_GB2312" w:cs="Times New Roman"/>
          <w:color w:val="000000"/>
          <w:sz w:val="30"/>
          <w:szCs w:val="30"/>
          <w:lang w:val="en-US" w:eastAsia="zh-CN"/>
        </w:rPr>
        <w:t>4</w:t>
      </w:r>
      <w:r>
        <w:rPr>
          <w:rFonts w:hint="default" w:ascii="Times New Roman" w:hAnsi="Times New Roman" w:eastAsia="仿宋_GB2312" w:cs="Times New Roman"/>
          <w:color w:val="000000"/>
          <w:sz w:val="30"/>
          <w:szCs w:val="30"/>
          <w:lang w:val="en" w:eastAsia="zh-CN"/>
        </w:rPr>
        <w:t>）</w:t>
      </w:r>
      <w:r>
        <w:rPr>
          <w:rFonts w:hint="default" w:ascii="Times New Roman" w:hAnsi="Times New Roman" w:eastAsia="仿宋_GB2312" w:cs="Times New Roman"/>
          <w:color w:val="000000"/>
          <w:sz w:val="30"/>
          <w:szCs w:val="30"/>
        </w:rPr>
        <w:t>具有国（境）外同行业企业工作经验，具有推动重大技术革新能力的科技领军人才，或担任高级职务的专业技术人才、经营管理人才，具备解决项目问题的能力；</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color w:val="000000"/>
          <w:sz w:val="30"/>
          <w:szCs w:val="30"/>
          <w:lang w:val="en-US" w:eastAsia="zh-CN"/>
        </w:rPr>
        <w:t>5</w:t>
      </w: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color w:val="000000"/>
          <w:sz w:val="30"/>
          <w:szCs w:val="30"/>
        </w:rPr>
        <w:t>拥有自主知识产权或掌握核心技术的创新、创业人才；</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color w:val="000000"/>
          <w:sz w:val="30"/>
          <w:szCs w:val="30"/>
          <w:lang w:val="en-US" w:eastAsia="zh-CN"/>
        </w:rPr>
        <w:t>6</w:t>
      </w: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color w:val="000000"/>
          <w:sz w:val="30"/>
          <w:szCs w:val="30"/>
        </w:rPr>
        <w:t>其他急需紧缺的高端国（境）外专家或高技能人才。</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US" w:eastAsia="zh-CN"/>
        </w:rPr>
        <w:t>2.</w:t>
      </w:r>
      <w:r>
        <w:rPr>
          <w:rFonts w:hint="default" w:ascii="Times New Roman" w:hAnsi="Times New Roman" w:eastAsia="仿宋_GB2312" w:cs="Times New Roman"/>
          <w:color w:val="000000"/>
          <w:sz w:val="30"/>
          <w:szCs w:val="30"/>
        </w:rPr>
        <w:t>引进人才符合外国人来华工作分类标准中国际公认的专业成就认定标准的，可适当放宽年龄限制。</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楷体_GB2312" w:cs="Times New Roman"/>
          <w:color w:val="000000"/>
          <w:sz w:val="30"/>
          <w:szCs w:val="30"/>
          <w:lang w:eastAsia="zh-CN"/>
        </w:rPr>
      </w:pPr>
      <w:r>
        <w:rPr>
          <w:rFonts w:hint="default" w:ascii="Times New Roman" w:hAnsi="Times New Roman" w:eastAsia="楷体_GB2312" w:cs="Times New Roman"/>
          <w:color w:val="000000"/>
          <w:sz w:val="30"/>
          <w:szCs w:val="30"/>
          <w:lang w:val="en-US" w:eastAsia="zh-CN"/>
        </w:rPr>
        <w:t>（五）引智</w:t>
      </w:r>
      <w:r>
        <w:rPr>
          <w:rFonts w:hint="default" w:ascii="Times New Roman" w:hAnsi="Times New Roman" w:eastAsia="楷体_GB2312" w:cs="Times New Roman"/>
          <w:color w:val="000000"/>
          <w:sz w:val="30"/>
          <w:szCs w:val="30"/>
        </w:rPr>
        <w:t>成果</w:t>
      </w:r>
      <w:r>
        <w:rPr>
          <w:rFonts w:hint="default" w:ascii="Times New Roman" w:hAnsi="Times New Roman" w:eastAsia="楷体_GB2312" w:cs="Times New Roman"/>
          <w:color w:val="000000"/>
          <w:sz w:val="30"/>
          <w:szCs w:val="30"/>
          <w:lang w:eastAsia="zh-CN"/>
        </w:rPr>
        <w:t>示范推广项目对引智成果</w:t>
      </w:r>
      <w:r>
        <w:rPr>
          <w:rFonts w:hint="default" w:ascii="Times New Roman" w:hAnsi="Times New Roman" w:eastAsia="楷体_GB2312" w:cs="Times New Roman"/>
          <w:color w:val="000000"/>
          <w:sz w:val="30"/>
          <w:szCs w:val="30"/>
        </w:rPr>
        <w:t>要求</w:t>
      </w:r>
      <w:r>
        <w:rPr>
          <w:rFonts w:hint="default" w:ascii="Times New Roman" w:hAnsi="Times New Roman" w:eastAsia="楷体_GB2312" w:cs="Times New Roman"/>
          <w:color w:val="000000"/>
          <w:sz w:val="30"/>
          <w:szCs w:val="30"/>
          <w:lang w:eastAsia="zh-CN"/>
        </w:rPr>
        <w:t>。</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引智成果是指通过开展引进国（境）外智力工作，引进、消化、吸收和创新，形成的新产品、新技术、新工艺等。该成果须在国内同行业处于领先地位，具有推广价值，对周边地区或相关领域有较强的示范带动作用，能够明显提高社会经济效益，且不涉及知识产权纠纷。</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楷体_GB2312" w:cs="Times New Roman"/>
          <w:color w:val="000000"/>
          <w:sz w:val="30"/>
          <w:szCs w:val="30"/>
          <w:lang w:val="en-US" w:eastAsia="zh-CN"/>
        </w:rPr>
      </w:pPr>
      <w:r>
        <w:rPr>
          <w:rFonts w:hint="default" w:ascii="Times New Roman" w:hAnsi="Times New Roman" w:eastAsia="楷体_GB2312" w:cs="Times New Roman"/>
          <w:color w:val="000000"/>
          <w:sz w:val="30"/>
          <w:szCs w:val="30"/>
          <w:lang w:val="en-US" w:eastAsia="zh-CN"/>
        </w:rPr>
        <w:t>（六）注意事项。</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1.国（境）外高端人才引进项目。</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highlight w:val="none"/>
          <w:lang w:val="en-US" w:eastAsia="zh-CN"/>
        </w:rPr>
        <w:t>（1）该项目经费</w:t>
      </w:r>
      <w:r>
        <w:rPr>
          <w:rFonts w:hint="default" w:ascii="Times New Roman" w:hAnsi="Times New Roman" w:eastAsia="仿宋_GB2312" w:cs="Times New Roman"/>
          <w:color w:val="000000"/>
          <w:sz w:val="30"/>
          <w:szCs w:val="30"/>
          <w:lang w:val="en-US" w:eastAsia="zh-CN"/>
        </w:rPr>
        <w:t>需严格按照《四川高端引智经费管理办法》〔2021〕55号）申请并使用。</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2）不求所在、但求所用，外国专家因客观因素、不可抗力等无法入境的，鼓励通过远程视频、线上办公或在国（境）外建立研发机构、创新创业基地吸引使用当地高层次人才等多种合作方式开展引进国（境）外人才智力工作。</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（3）</w:t>
      </w:r>
      <w:r>
        <w:rPr>
          <w:rFonts w:hint="default" w:ascii="Times New Roman" w:hAnsi="Times New Roman" w:eastAsia="仿宋_GB2312" w:cs="Times New Roman"/>
          <w:b/>
          <w:bCs/>
          <w:color w:val="000000"/>
          <w:sz w:val="30"/>
          <w:szCs w:val="30"/>
          <w:lang w:val="en-US" w:eastAsia="zh-CN"/>
        </w:rPr>
        <w:t>该项目获批立项后无需签订任务合同书，以申报书中绩效指标作为考核指标，</w:t>
      </w:r>
      <w:r>
        <w:rPr>
          <w:rFonts w:hint="default" w:ascii="Times New Roman" w:hAnsi="Times New Roman" w:eastAsia="仿宋_GB2312" w:cs="Times New Roman"/>
          <w:color w:val="000000"/>
          <w:sz w:val="30"/>
          <w:szCs w:val="30"/>
          <w:lang w:val="en-US" w:eastAsia="zh-CN"/>
        </w:rPr>
        <w:t>项目执行完毕后</w:t>
      </w:r>
      <w:r>
        <w:rPr>
          <w:rFonts w:hint="default" w:ascii="Times New Roman" w:hAnsi="Times New Roman" w:eastAsia="仿宋_GB2312" w:cs="Times New Roman"/>
          <w:color w:val="000000"/>
          <w:sz w:val="30"/>
          <w:szCs w:val="30"/>
          <w:highlight w:val="none"/>
          <w:lang w:val="en-US" w:eastAsia="zh-CN"/>
        </w:rPr>
        <w:t>于</w:t>
      </w:r>
      <w:r>
        <w:rPr>
          <w:rFonts w:hint="default" w:ascii="Times New Roman" w:hAnsi="Times New Roman" w:eastAsia="仿宋_GB2312" w:cs="Times New Roman"/>
          <w:b/>
          <w:bCs/>
          <w:color w:val="000000"/>
          <w:sz w:val="30"/>
          <w:szCs w:val="30"/>
          <w:highlight w:val="none"/>
          <w:lang w:val="en-US" w:eastAsia="zh-CN"/>
        </w:rPr>
        <w:t>2023年12月31日</w:t>
      </w:r>
      <w:r>
        <w:rPr>
          <w:rFonts w:hint="default" w:ascii="Times New Roman" w:hAnsi="Times New Roman" w:eastAsia="仿宋_GB2312" w:cs="Times New Roman"/>
          <w:color w:val="000000"/>
          <w:sz w:val="30"/>
          <w:szCs w:val="30"/>
          <w:highlight w:val="none"/>
          <w:lang w:val="en-US" w:eastAsia="zh-CN"/>
        </w:rPr>
        <w:t>前按</w:t>
      </w:r>
      <w:r>
        <w:rPr>
          <w:rFonts w:hint="default" w:ascii="Times New Roman" w:hAnsi="Times New Roman" w:eastAsia="仿宋_GB2312" w:cs="Times New Roman"/>
          <w:color w:val="000000"/>
          <w:sz w:val="30"/>
          <w:szCs w:val="30"/>
          <w:lang w:val="en-US" w:eastAsia="zh-CN"/>
        </w:rPr>
        <w:t>照《四川省国（境）外高端人才引进项目执行总结暨绩效评价工作规程（试行）》（川科专〔2021〕2号）有关规定，提交项目执行总结暨绩效评价材料。</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2.引智成果示范推广项目。</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b w:val="0"/>
          <w:bCs/>
          <w:color w:val="000000"/>
          <w:sz w:val="30"/>
          <w:szCs w:val="30"/>
          <w:lang w:val="en-US" w:eastAsia="zh-CN"/>
        </w:rPr>
        <w:t>（1）</w:t>
      </w:r>
      <w:r>
        <w:rPr>
          <w:rFonts w:hint="default" w:ascii="Times New Roman" w:hAnsi="Times New Roman" w:eastAsia="仿宋_GB2312" w:cs="Times New Roman"/>
          <w:color w:val="000000"/>
          <w:sz w:val="30"/>
          <w:szCs w:val="30"/>
        </w:rPr>
        <w:t>高等院校、科研院所</w:t>
      </w:r>
      <w:r>
        <w:rPr>
          <w:rFonts w:hint="default" w:ascii="Times New Roman" w:hAnsi="Times New Roman" w:eastAsia="仿宋_GB2312" w:cs="Times New Roman"/>
          <w:color w:val="000000"/>
          <w:sz w:val="30"/>
          <w:szCs w:val="30"/>
          <w:lang w:eastAsia="zh-CN"/>
        </w:rPr>
        <w:t>、医疗机构牵头申报并承担再研发任务的项目可按有关规定预算间接费用，技术指标及其水平提高程度将作为此项目验收时的重要考核指标；企业牵头申报的项目只能预算直接费用。</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b w:val="0"/>
          <w:bCs w:val="0"/>
          <w:color w:val="000000"/>
          <w:sz w:val="30"/>
          <w:szCs w:val="30"/>
          <w:lang w:val="en-US" w:eastAsia="zh-CN"/>
        </w:rPr>
        <w:t>（2）</w:t>
      </w:r>
      <w:r>
        <w:rPr>
          <w:rFonts w:hint="default" w:ascii="Times New Roman" w:hAnsi="Times New Roman" w:eastAsia="仿宋_GB2312" w:cs="Times New Roman"/>
          <w:b w:val="0"/>
          <w:bCs w:val="0"/>
          <w:color w:val="000000"/>
          <w:sz w:val="30"/>
          <w:szCs w:val="30"/>
          <w:lang w:eastAsia="zh-CN"/>
        </w:rPr>
        <w:t>项目负责人多年积累和原始创新，未开展引进国（境）外智力工作形成的成果不属于引智成果示范推广项目支持范畴。负责人为外籍人员或港、澳、台人员的不受此限制。</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所有支撑材料原件扫描后作为附件在四川省科技管理信息系统在线上传。</w:t>
      </w:r>
    </w:p>
    <w:p>
      <w:pPr>
        <w:keepNext w:val="0"/>
        <w:keepLines w:val="0"/>
        <w:pageBreakBefore w:val="0"/>
        <w:widowControl w:val="0"/>
        <w:suppressAutoHyphens/>
        <w:kinsoku/>
        <w:wordWrap/>
        <w:overflowPunct/>
        <w:topLinePunct w:val="0"/>
        <w:autoSpaceDE/>
        <w:autoSpaceDN/>
        <w:bidi w:val="0"/>
        <w:snapToGrid/>
        <w:spacing w:line="360" w:lineRule="exact"/>
        <w:ind w:firstLine="600" w:firstLineChars="200"/>
        <w:jc w:val="left"/>
        <w:textAlignment w:val="auto"/>
        <w:rPr>
          <w:rFonts w:hint="default" w:ascii="Times New Roman" w:hAnsi="Times New Roman" w:eastAsia="仿宋_GB2312" w:cs="Times New Roman"/>
          <w:color w:val="000000"/>
          <w:sz w:val="30"/>
          <w:szCs w:val="30"/>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00" w:lineRule="exact"/>
        <w:ind w:left="0"/>
        <w:jc w:val="left"/>
        <w:textAlignment w:val="auto"/>
        <w:rPr>
          <w:rFonts w:hint="default" w:ascii="Times New Roman" w:hAnsi="Times New Roman" w:eastAsia="黑体" w:cs="Times New Roman"/>
          <w:color w:val="000000"/>
          <w:sz w:val="31"/>
          <w:szCs w:val="31"/>
        </w:rPr>
      </w:pPr>
    </w:p>
    <w:p>
      <w:pPr>
        <w:keepNext w:val="0"/>
        <w:keepLines w:val="0"/>
        <w:pageBreakBefore w:val="0"/>
        <w:widowControl w:val="0"/>
        <w:suppressAutoHyphens/>
        <w:kinsoku/>
        <w:wordWrap/>
        <w:overflowPunct/>
        <w:topLinePunct w:val="0"/>
        <w:autoSpaceDE/>
        <w:autoSpaceDN/>
        <w:bidi w:val="0"/>
        <w:adjustRightInd/>
        <w:snapToGrid/>
        <w:spacing w:line="500" w:lineRule="exact"/>
        <w:ind w:left="0"/>
        <w:jc w:val="left"/>
        <w:textAlignment w:val="auto"/>
        <w:rPr>
          <w:rFonts w:hint="default" w:ascii="Times New Roman" w:hAnsi="Times New Roman" w:eastAsia="黑体" w:cs="Times New Roman"/>
          <w:color w:val="000000"/>
          <w:sz w:val="31"/>
          <w:szCs w:val="31"/>
        </w:rPr>
      </w:pPr>
    </w:p>
    <w:p>
      <w:pPr>
        <w:keepNext w:val="0"/>
        <w:keepLines w:val="0"/>
        <w:pageBreakBefore w:val="0"/>
        <w:widowControl w:val="0"/>
        <w:suppressAutoHyphens/>
        <w:kinsoku/>
        <w:wordWrap/>
        <w:overflowPunct/>
        <w:topLinePunct w:val="0"/>
        <w:autoSpaceDE/>
        <w:autoSpaceDN/>
        <w:bidi w:val="0"/>
        <w:adjustRightInd/>
        <w:snapToGrid/>
        <w:spacing w:line="500" w:lineRule="exact"/>
        <w:ind w:left="0"/>
        <w:jc w:val="left"/>
        <w:textAlignment w:val="auto"/>
        <w:rPr>
          <w:rFonts w:hint="default" w:ascii="Times New Roman" w:hAnsi="Times New Roman" w:eastAsia="黑体" w:cs="Times New Roman"/>
          <w:color w:val="000000"/>
          <w:sz w:val="31"/>
          <w:szCs w:val="31"/>
        </w:rPr>
      </w:pPr>
    </w:p>
    <w:p>
      <w:pPr>
        <w:keepNext w:val="0"/>
        <w:keepLines w:val="0"/>
        <w:pageBreakBefore w:val="0"/>
        <w:widowControl w:val="0"/>
        <w:suppressAutoHyphens/>
        <w:kinsoku/>
        <w:wordWrap/>
        <w:overflowPunct/>
        <w:topLinePunct w:val="0"/>
        <w:autoSpaceDE/>
        <w:autoSpaceDN/>
        <w:bidi w:val="0"/>
        <w:adjustRightInd/>
        <w:snapToGrid/>
        <w:spacing w:line="500" w:lineRule="exact"/>
        <w:ind w:left="0"/>
        <w:jc w:val="left"/>
        <w:textAlignment w:val="auto"/>
        <w:rPr>
          <w:rFonts w:hint="default" w:ascii="Times New Roman" w:hAnsi="Times New Roman" w:eastAsia="黑体" w:cs="Times New Roman"/>
          <w:color w:val="000000"/>
          <w:sz w:val="31"/>
          <w:szCs w:val="31"/>
        </w:rPr>
      </w:pPr>
    </w:p>
    <w:p>
      <w:pPr>
        <w:keepNext w:val="0"/>
        <w:keepLines w:val="0"/>
        <w:pageBreakBefore w:val="0"/>
        <w:widowControl w:val="0"/>
        <w:suppressAutoHyphens/>
        <w:kinsoku/>
        <w:wordWrap/>
        <w:overflowPunct/>
        <w:topLinePunct w:val="0"/>
        <w:autoSpaceDE/>
        <w:autoSpaceDN/>
        <w:bidi w:val="0"/>
        <w:adjustRightInd/>
        <w:snapToGrid/>
        <w:spacing w:line="500" w:lineRule="exact"/>
        <w:ind w:left="0"/>
        <w:jc w:val="left"/>
        <w:textAlignment w:val="auto"/>
        <w:rPr>
          <w:rFonts w:hint="default" w:ascii="Times New Roman" w:hAnsi="Times New Roman" w:eastAsia="黑体" w:cs="Times New Roman"/>
          <w:color w:val="000000"/>
          <w:sz w:val="31"/>
          <w:szCs w:val="31"/>
        </w:rPr>
      </w:pPr>
    </w:p>
    <w:p>
      <w:pPr>
        <w:keepNext w:val="0"/>
        <w:keepLines w:val="0"/>
        <w:pageBreakBefore w:val="0"/>
        <w:widowControl w:val="0"/>
        <w:suppressAutoHyphens/>
        <w:kinsoku/>
        <w:wordWrap/>
        <w:overflowPunct/>
        <w:topLinePunct w:val="0"/>
        <w:autoSpaceDE/>
        <w:autoSpaceDN/>
        <w:bidi w:val="0"/>
        <w:adjustRightInd/>
        <w:snapToGrid/>
        <w:spacing w:line="500" w:lineRule="exact"/>
        <w:ind w:left="0"/>
        <w:jc w:val="left"/>
        <w:textAlignment w:val="auto"/>
        <w:rPr>
          <w:rFonts w:hint="default" w:ascii="Times New Roman" w:hAnsi="Times New Roman" w:eastAsia="黑体" w:cs="Times New Roman"/>
          <w:color w:val="000000"/>
          <w:sz w:val="31"/>
          <w:szCs w:val="31"/>
        </w:rPr>
      </w:pPr>
    </w:p>
    <w:p>
      <w:pPr>
        <w:keepNext w:val="0"/>
        <w:keepLines w:val="0"/>
        <w:pageBreakBefore w:val="0"/>
        <w:widowControl w:val="0"/>
        <w:suppressAutoHyphens/>
        <w:kinsoku/>
        <w:wordWrap/>
        <w:overflowPunct/>
        <w:topLinePunct w:val="0"/>
        <w:autoSpaceDE/>
        <w:autoSpaceDN/>
        <w:bidi w:val="0"/>
        <w:adjustRightInd/>
        <w:snapToGrid/>
        <w:spacing w:line="500" w:lineRule="exact"/>
        <w:ind w:left="0"/>
        <w:jc w:val="left"/>
        <w:textAlignment w:val="auto"/>
        <w:rPr>
          <w:rFonts w:hint="default" w:ascii="Times New Roman" w:hAnsi="Times New Roman" w:eastAsia="黑体" w:cs="Times New Roman"/>
          <w:color w:val="000000"/>
          <w:sz w:val="31"/>
          <w:szCs w:val="31"/>
        </w:rPr>
      </w:pPr>
    </w:p>
    <w:p>
      <w:pPr>
        <w:keepNext w:val="0"/>
        <w:keepLines w:val="0"/>
        <w:pageBreakBefore w:val="0"/>
        <w:widowControl w:val="0"/>
        <w:suppressAutoHyphens/>
        <w:kinsoku/>
        <w:wordWrap/>
        <w:overflowPunct/>
        <w:topLinePunct w:val="0"/>
        <w:autoSpaceDE/>
        <w:autoSpaceDN/>
        <w:bidi w:val="0"/>
        <w:adjustRightInd/>
        <w:snapToGrid/>
        <w:spacing w:line="500" w:lineRule="exact"/>
        <w:ind w:left="0"/>
        <w:jc w:val="left"/>
        <w:textAlignment w:val="auto"/>
        <w:rPr>
          <w:rFonts w:hint="default" w:ascii="Times New Roman" w:hAnsi="Times New Roman" w:eastAsia="黑体" w:cs="Times New Roman"/>
          <w:color w:val="000000"/>
          <w:sz w:val="31"/>
          <w:szCs w:val="31"/>
        </w:rPr>
      </w:pPr>
    </w:p>
    <w:p>
      <w:pPr>
        <w:keepNext w:val="0"/>
        <w:keepLines w:val="0"/>
        <w:pageBreakBefore w:val="0"/>
        <w:widowControl w:val="0"/>
        <w:suppressAutoHyphens/>
        <w:kinsoku/>
        <w:wordWrap/>
        <w:overflowPunct/>
        <w:topLinePunct w:val="0"/>
        <w:autoSpaceDE/>
        <w:autoSpaceDN/>
        <w:bidi w:val="0"/>
        <w:adjustRightInd/>
        <w:snapToGrid/>
        <w:spacing w:line="500" w:lineRule="exact"/>
        <w:ind w:left="0"/>
        <w:jc w:val="left"/>
        <w:textAlignment w:val="auto"/>
        <w:rPr>
          <w:rFonts w:hint="default" w:ascii="Times New Roman" w:hAnsi="Times New Roman" w:eastAsia="黑体" w:cs="Times New Roman"/>
          <w:color w:val="000000"/>
          <w:sz w:val="31"/>
          <w:szCs w:val="31"/>
        </w:rPr>
      </w:pPr>
    </w:p>
    <w:p>
      <w:pPr>
        <w:pStyle w:val="7"/>
        <w:widowControl/>
        <w:jc w:val="left"/>
        <w:rPr>
          <w:rFonts w:hint="default" w:ascii="Times New Roman" w:hAnsi="Times New Roman" w:eastAsia="黑体" w:cs="Times New Roman"/>
          <w:color w:val="000000"/>
          <w:sz w:val="31"/>
          <w:szCs w:val="31"/>
        </w:rPr>
      </w:pPr>
    </w:p>
    <w:p>
      <w:pPr>
        <w:pStyle w:val="7"/>
        <w:widowControl/>
        <w:jc w:val="left"/>
        <w:rPr>
          <w:rFonts w:hint="default" w:ascii="Times New Roman" w:hAnsi="Times New Roman" w:eastAsia="黑体" w:cs="Times New Roman"/>
          <w:color w:val="000000"/>
          <w:sz w:val="31"/>
          <w:szCs w:val="31"/>
        </w:rPr>
      </w:pPr>
    </w:p>
    <w:p>
      <w:pPr>
        <w:pageBreakBefore w:val="0"/>
        <w:suppressAutoHyphens/>
        <w:kinsoku/>
        <w:wordWrap/>
        <w:bidi w:val="0"/>
        <w:spacing w:line="500" w:lineRule="exact"/>
        <w:rPr>
          <w:rFonts w:hint="default" w:ascii="Times New Roman" w:hAnsi="Times New Roman" w:eastAsia="仿宋_GB2312" w:cs="Times New Roman"/>
          <w:color w:val="000000"/>
          <w:sz w:val="32"/>
        </w:rPr>
        <w:sectPr>
          <w:footerReference r:id="rId4" w:type="default"/>
          <w:pgSz w:w="11906" w:h="16838"/>
          <w:pgMar w:top="2098" w:right="1474" w:bottom="1985" w:left="1588" w:header="851" w:footer="992" w:gutter="0"/>
          <w:pgNumType w:fmt="decimal"/>
          <w:cols w:space="720" w:num="1"/>
          <w:docGrid w:type="linesAndChars" w:linePitch="312" w:charSpace="0"/>
        </w:sectPr>
      </w:pPr>
    </w:p>
    <w:p>
      <w:pPr>
        <w:pStyle w:val="5"/>
        <w:pageBreakBefore w:val="0"/>
        <w:widowControl w:val="0"/>
        <w:numPr>
          <w:ilvl w:val="0"/>
          <w:numId w:val="0"/>
        </w:numPr>
        <w:kinsoku/>
        <w:wordWrap/>
        <w:bidi w:val="0"/>
        <w:spacing w:line="500"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四、科学技术普及</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36" w:firstLineChars="200"/>
        <w:jc w:val="both"/>
        <w:textAlignment w:val="auto"/>
        <w:rPr>
          <w:rFonts w:hint="default" w:ascii="Times New Roman" w:hAnsi="Times New Roman" w:eastAsia="楷体_GB2312" w:cs="Times New Roman"/>
          <w:spacing w:val="-6"/>
          <w:sz w:val="28"/>
          <w:szCs w:val="28"/>
        </w:rPr>
      </w:pPr>
      <w:r>
        <w:rPr>
          <w:rFonts w:hint="default" w:ascii="Times New Roman" w:hAnsi="Times New Roman" w:eastAsia="楷体_GB2312" w:cs="Times New Roman"/>
          <w:spacing w:val="-6"/>
          <w:sz w:val="28"/>
          <w:szCs w:val="28"/>
        </w:rPr>
        <w:t>（该指南在线填写“四川省科技培训项目申报书”“四川省科普作品创作项目申报书”。指南咨询：</w:t>
      </w:r>
      <w:r>
        <w:rPr>
          <w:rFonts w:hint="default" w:ascii="Times New Roman" w:hAnsi="Times New Roman" w:eastAsia="楷体_GB2312" w:cs="Times New Roman"/>
          <w:spacing w:val="-6"/>
          <w:sz w:val="28"/>
          <w:szCs w:val="28"/>
          <w:lang w:eastAsia="zh-CN"/>
        </w:rPr>
        <w:t>黄文超</w:t>
      </w:r>
      <w:r>
        <w:rPr>
          <w:rFonts w:hint="default" w:ascii="Times New Roman" w:hAnsi="Times New Roman" w:eastAsia="楷体_GB2312" w:cs="Times New Roman"/>
          <w:spacing w:val="-6"/>
          <w:sz w:val="28"/>
          <w:szCs w:val="28"/>
        </w:rPr>
        <w:t xml:space="preserve"> 028-867</w:t>
      </w:r>
      <w:r>
        <w:rPr>
          <w:rFonts w:hint="default" w:ascii="Times New Roman" w:hAnsi="Times New Roman" w:eastAsia="楷体_GB2312" w:cs="Times New Roman"/>
          <w:spacing w:val="-6"/>
          <w:sz w:val="28"/>
          <w:szCs w:val="28"/>
          <w:lang w:val="en-US" w:eastAsia="zh-CN"/>
        </w:rPr>
        <w:t>18520</w:t>
      </w:r>
      <w:r>
        <w:rPr>
          <w:rFonts w:hint="default" w:ascii="Times New Roman" w:hAnsi="Times New Roman" w:eastAsia="楷体_GB2312" w:cs="Times New Roman"/>
          <w:spacing w:val="-6"/>
          <w:sz w:val="28"/>
          <w:szCs w:val="28"/>
        </w:rPr>
        <w:t>）</w:t>
      </w:r>
    </w:p>
    <w:p>
      <w:pPr>
        <w:pStyle w:val="5"/>
        <w:pageBreakBefore w:val="0"/>
        <w:widowControl w:val="0"/>
        <w:numPr>
          <w:ilvl w:val="0"/>
          <w:numId w:val="0"/>
        </w:numPr>
        <w:kinsoku/>
        <w:wordWrap/>
        <w:bidi w:val="0"/>
        <w:spacing w:line="500" w:lineRule="exact"/>
        <w:jc w:val="both"/>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lang w:eastAsia="zh-CN"/>
        </w:rPr>
        <w:t>——总体绩效目标</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开展培训1</w:t>
      </w:r>
      <w:r>
        <w:rPr>
          <w:rFonts w:hint="default" w:ascii="Times New Roman" w:hAnsi="Times New Roman" w:eastAsia="仿宋_GB2312" w:cs="Times New Roman"/>
          <w:color w:val="auto"/>
          <w:sz w:val="30"/>
          <w:szCs w:val="30"/>
          <w:lang w:val="en-US" w:eastAsia="zh-CN"/>
        </w:rPr>
        <w:t>8</w:t>
      </w:r>
      <w:r>
        <w:rPr>
          <w:rFonts w:hint="default" w:ascii="Times New Roman" w:hAnsi="Times New Roman" w:eastAsia="仿宋_GB2312" w:cs="Times New Roman"/>
          <w:color w:val="auto"/>
          <w:sz w:val="30"/>
          <w:szCs w:val="30"/>
          <w:lang w:eastAsia="zh-CN"/>
        </w:rPr>
        <w:t>0场以上、培训</w:t>
      </w:r>
      <w:r>
        <w:rPr>
          <w:rFonts w:hint="default" w:ascii="Times New Roman" w:hAnsi="Times New Roman" w:eastAsia="仿宋_GB2312" w:cs="Times New Roman"/>
          <w:color w:val="auto"/>
          <w:sz w:val="30"/>
          <w:szCs w:val="30"/>
          <w:lang w:val="en-US" w:eastAsia="zh-CN"/>
        </w:rPr>
        <w:t>4</w:t>
      </w:r>
      <w:r>
        <w:rPr>
          <w:rFonts w:hint="default" w:ascii="Times New Roman" w:hAnsi="Times New Roman" w:eastAsia="仿宋_GB2312" w:cs="Times New Roman"/>
          <w:color w:val="auto"/>
          <w:sz w:val="30"/>
          <w:szCs w:val="30"/>
          <w:lang w:val="en" w:eastAsia="zh-CN"/>
        </w:rPr>
        <w:t>.</w:t>
      </w:r>
      <w:r>
        <w:rPr>
          <w:rFonts w:hint="default" w:ascii="Times New Roman" w:hAnsi="Times New Roman" w:eastAsia="仿宋_GB2312" w:cs="Times New Roman"/>
          <w:color w:val="auto"/>
          <w:sz w:val="30"/>
          <w:szCs w:val="30"/>
          <w:lang w:val="en-US" w:eastAsia="zh-CN"/>
        </w:rPr>
        <w:t>5</w:t>
      </w:r>
      <w:r>
        <w:rPr>
          <w:rFonts w:hint="default" w:ascii="Times New Roman" w:hAnsi="Times New Roman" w:eastAsia="仿宋_GB2312" w:cs="Times New Roman"/>
          <w:color w:val="auto"/>
          <w:sz w:val="30"/>
          <w:szCs w:val="30"/>
          <w:lang w:eastAsia="zh-CN"/>
        </w:rPr>
        <w:t>万人次以上；制作科普图书和科普视频40件以上。</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lang w:eastAsia="zh-CN"/>
        </w:rPr>
        <w:t>——资金支持方式和支持经费</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eastAsia="zh-CN"/>
        </w:rPr>
        <w:t>科普项目分为科普培训项目和科普作品创作项目两类，均采取前补助的方式给予支持。</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highlight w:val="none"/>
          <w:lang w:val="en" w:eastAsia="zh-CN"/>
        </w:rPr>
      </w:pPr>
      <w:r>
        <w:rPr>
          <w:rFonts w:hint="default" w:ascii="Times New Roman" w:hAnsi="Times New Roman" w:eastAsia="仿宋_GB2312" w:cs="Times New Roman"/>
          <w:color w:val="auto"/>
          <w:sz w:val="30"/>
          <w:szCs w:val="30"/>
          <w:highlight w:val="none"/>
          <w:lang w:eastAsia="zh-CN"/>
        </w:rPr>
        <w:t>科普培训项目支持经费不超过</w:t>
      </w:r>
      <w:r>
        <w:rPr>
          <w:rFonts w:hint="default" w:ascii="Times New Roman" w:hAnsi="Times New Roman" w:eastAsia="仿宋_GB2312" w:cs="Times New Roman"/>
          <w:color w:val="auto"/>
          <w:sz w:val="30"/>
          <w:szCs w:val="30"/>
          <w:highlight w:val="none"/>
          <w:lang w:val="en" w:eastAsia="zh-CN"/>
        </w:rPr>
        <w:t>2</w:t>
      </w:r>
      <w:r>
        <w:rPr>
          <w:rFonts w:hint="default" w:ascii="Times New Roman" w:hAnsi="Times New Roman" w:eastAsia="仿宋_GB2312" w:cs="Times New Roman"/>
          <w:color w:val="auto"/>
          <w:sz w:val="30"/>
          <w:szCs w:val="30"/>
          <w:highlight w:val="none"/>
          <w:lang w:eastAsia="zh-CN"/>
        </w:rPr>
        <w:t>0万</w:t>
      </w:r>
      <w:r>
        <w:rPr>
          <w:rFonts w:hint="eastAsia"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lang w:val="en" w:eastAsia="zh-CN"/>
        </w:rPr>
        <w:t>/项。</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eastAsia="zh-CN"/>
        </w:rPr>
        <w:t>科普作品项目支持经费不超过</w:t>
      </w:r>
      <w:r>
        <w:rPr>
          <w:rFonts w:hint="default" w:ascii="Times New Roman" w:hAnsi="Times New Roman" w:eastAsia="仿宋_GB2312" w:cs="Times New Roman"/>
          <w:color w:val="auto"/>
          <w:sz w:val="30"/>
          <w:szCs w:val="30"/>
          <w:highlight w:val="none"/>
          <w:lang w:val="en-US" w:eastAsia="zh-CN"/>
        </w:rPr>
        <w:t>20</w:t>
      </w:r>
      <w:r>
        <w:rPr>
          <w:rFonts w:hint="default" w:ascii="Times New Roman" w:hAnsi="Times New Roman" w:eastAsia="仿宋_GB2312" w:cs="Times New Roman"/>
          <w:color w:val="auto"/>
          <w:sz w:val="30"/>
          <w:szCs w:val="30"/>
          <w:highlight w:val="none"/>
          <w:lang w:eastAsia="zh-CN"/>
        </w:rPr>
        <w:t>万</w:t>
      </w:r>
      <w:r>
        <w:rPr>
          <w:rFonts w:hint="eastAsia"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lang w:val="en" w:eastAsia="zh-CN"/>
        </w:rPr>
        <w:t>/项，其中：科普图书创作、翻译</w:t>
      </w:r>
      <w:r>
        <w:rPr>
          <w:rFonts w:hint="default" w:ascii="Times New Roman" w:hAnsi="Times New Roman" w:eastAsia="仿宋_GB2312" w:cs="Times New Roman"/>
          <w:color w:val="auto"/>
          <w:sz w:val="30"/>
          <w:szCs w:val="30"/>
          <w:highlight w:val="none"/>
          <w:lang w:eastAsia="zh-CN"/>
        </w:rPr>
        <w:t>支持经费不超过</w:t>
      </w:r>
      <w:r>
        <w:rPr>
          <w:rFonts w:hint="default" w:ascii="Times New Roman" w:hAnsi="Times New Roman" w:eastAsia="仿宋_GB2312" w:cs="Times New Roman"/>
          <w:color w:val="auto"/>
          <w:sz w:val="30"/>
          <w:szCs w:val="30"/>
          <w:highlight w:val="none"/>
          <w:lang w:val="en-US" w:eastAsia="zh-CN"/>
        </w:rPr>
        <w:t>20</w:t>
      </w:r>
      <w:r>
        <w:rPr>
          <w:rFonts w:hint="default" w:ascii="Times New Roman" w:hAnsi="Times New Roman" w:eastAsia="仿宋_GB2312" w:cs="Times New Roman"/>
          <w:color w:val="auto"/>
          <w:sz w:val="30"/>
          <w:szCs w:val="30"/>
          <w:highlight w:val="none"/>
          <w:lang w:eastAsia="zh-CN"/>
        </w:rPr>
        <w:t>万</w:t>
      </w:r>
      <w:r>
        <w:rPr>
          <w:rFonts w:hint="eastAsia"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lang w:val="en" w:eastAsia="zh-CN"/>
        </w:rPr>
        <w:t>/项，科普短视频创作、翻译</w:t>
      </w:r>
      <w:r>
        <w:rPr>
          <w:rFonts w:hint="default" w:ascii="Times New Roman" w:hAnsi="Times New Roman" w:eastAsia="仿宋_GB2312" w:cs="Times New Roman"/>
          <w:color w:val="auto"/>
          <w:sz w:val="30"/>
          <w:szCs w:val="30"/>
          <w:highlight w:val="none"/>
          <w:lang w:eastAsia="zh-CN"/>
        </w:rPr>
        <w:t>支持经费不超过</w:t>
      </w:r>
      <w:r>
        <w:rPr>
          <w:rFonts w:hint="default" w:ascii="Times New Roman" w:hAnsi="Times New Roman" w:eastAsia="仿宋_GB2312" w:cs="Times New Roman"/>
          <w:color w:val="auto"/>
          <w:sz w:val="30"/>
          <w:szCs w:val="30"/>
          <w:highlight w:val="none"/>
          <w:lang w:val="en-US" w:eastAsia="zh-CN"/>
        </w:rPr>
        <w:t>10</w:t>
      </w:r>
      <w:r>
        <w:rPr>
          <w:rFonts w:hint="default" w:ascii="Times New Roman" w:hAnsi="Times New Roman" w:eastAsia="仿宋_GB2312" w:cs="Times New Roman"/>
          <w:color w:val="auto"/>
          <w:sz w:val="30"/>
          <w:szCs w:val="30"/>
          <w:highlight w:val="none"/>
          <w:lang w:eastAsia="zh-CN"/>
        </w:rPr>
        <w:t>万</w:t>
      </w:r>
      <w:r>
        <w:rPr>
          <w:rFonts w:hint="eastAsia" w:ascii="Times New Roman" w:hAnsi="Times New Roman" w:eastAsia="仿宋_GB2312" w:cs="Times New Roman"/>
          <w:color w:val="auto"/>
          <w:sz w:val="30"/>
          <w:szCs w:val="30"/>
          <w:highlight w:val="none"/>
          <w:lang w:eastAsia="zh-CN"/>
        </w:rPr>
        <w:t>元</w:t>
      </w:r>
      <w:r>
        <w:rPr>
          <w:rFonts w:hint="default" w:ascii="Times New Roman" w:hAnsi="Times New Roman" w:eastAsia="仿宋_GB2312" w:cs="Times New Roman"/>
          <w:color w:val="auto"/>
          <w:sz w:val="30"/>
          <w:szCs w:val="30"/>
          <w:highlight w:val="none"/>
          <w:lang w:val="en" w:eastAsia="zh-CN"/>
        </w:rPr>
        <w:t>/项</w:t>
      </w:r>
      <w:r>
        <w:rPr>
          <w:rFonts w:hint="default" w:ascii="Times New Roman" w:hAnsi="Times New Roman" w:eastAsia="仿宋_GB2312" w:cs="Times New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lang w:eastAsia="zh-CN"/>
        </w:rPr>
        <w:t>——实施周期</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项目实施周期一般为2年，自202</w:t>
      </w:r>
      <w:r>
        <w:rPr>
          <w:rFonts w:hint="default" w:ascii="Times New Roman" w:hAnsi="Times New Roman" w:eastAsia="仿宋_GB2312" w:cs="Times New Roman"/>
          <w:color w:val="auto"/>
          <w:sz w:val="30"/>
          <w:szCs w:val="30"/>
          <w:lang w:val="en-US" w:eastAsia="zh-CN"/>
        </w:rPr>
        <w:t>3</w:t>
      </w:r>
      <w:r>
        <w:rPr>
          <w:rFonts w:hint="default" w:ascii="Times New Roman" w:hAnsi="Times New Roman" w:eastAsia="仿宋_GB2312" w:cs="Times New Roman"/>
          <w:color w:val="auto"/>
          <w:sz w:val="30"/>
          <w:szCs w:val="30"/>
          <w:lang w:eastAsia="zh-CN"/>
        </w:rPr>
        <w:t>年1月</w:t>
      </w:r>
      <w:r>
        <w:rPr>
          <w:rFonts w:hint="default" w:ascii="Times New Roman" w:hAnsi="Times New Roman" w:eastAsia="仿宋_GB2312" w:cs="Times New Roman"/>
          <w:color w:val="auto"/>
          <w:sz w:val="30"/>
          <w:szCs w:val="30"/>
          <w:lang w:val="en-US" w:eastAsia="zh-CN"/>
        </w:rPr>
        <w:t>1日起</w:t>
      </w:r>
      <w:r>
        <w:rPr>
          <w:rFonts w:hint="default" w:ascii="Times New Roman" w:hAnsi="Times New Roman" w:eastAsia="仿宋_GB2312" w:cs="Times New Roman"/>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黑体" w:cs="Times New Roman"/>
          <w:color w:val="auto"/>
          <w:sz w:val="30"/>
          <w:szCs w:val="30"/>
          <w:lang w:eastAsia="zh-CN"/>
        </w:rPr>
      </w:pPr>
      <w:r>
        <w:rPr>
          <w:rFonts w:hint="default" w:ascii="Times New Roman" w:hAnsi="Times New Roman" w:eastAsia="黑体" w:cs="Times New Roman"/>
          <w:color w:val="auto"/>
          <w:sz w:val="30"/>
          <w:szCs w:val="30"/>
          <w:lang w:eastAsia="zh-CN"/>
        </w:rPr>
        <w:t>——支持方向和重点（含考核指标）</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eastAsia" w:ascii="楷体_GB2312" w:hAnsi="楷体_GB2312" w:eastAsia="楷体_GB2312" w:cs="楷体_GB2312"/>
          <w:b w:val="0"/>
          <w:bCs w:val="0"/>
          <w:color w:val="auto"/>
          <w:sz w:val="30"/>
          <w:szCs w:val="30"/>
          <w:lang w:eastAsia="zh-CN"/>
        </w:rPr>
      </w:pPr>
      <w:r>
        <w:rPr>
          <w:rFonts w:hint="eastAsia" w:ascii="楷体_GB2312" w:hAnsi="楷体_GB2312" w:eastAsia="楷体_GB2312" w:cs="楷体_GB2312"/>
          <w:b w:val="0"/>
          <w:bCs w:val="0"/>
          <w:color w:val="auto"/>
          <w:sz w:val="30"/>
          <w:szCs w:val="30"/>
          <w:lang w:eastAsia="zh-CN"/>
        </w:rPr>
        <w:t>（一）科普培训。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u w:val="none"/>
          <w:lang w:eastAsia="zh-CN"/>
        </w:rPr>
      </w:pPr>
      <w:r>
        <w:rPr>
          <w:rFonts w:hint="default" w:ascii="Times New Roman" w:hAnsi="Times New Roman" w:eastAsia="仿宋_GB2312" w:cs="Times New Roman"/>
          <w:color w:val="auto"/>
          <w:sz w:val="30"/>
          <w:szCs w:val="30"/>
          <w:u w:val="none"/>
          <w:lang w:eastAsia="zh-CN"/>
        </w:rPr>
        <w:t>重点支持国、省级高新区内相关机构开展科普培训项目。</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u w:val="none"/>
          <w:lang w:eastAsia="zh-CN"/>
        </w:rPr>
      </w:pPr>
      <w:r>
        <w:rPr>
          <w:rFonts w:hint="default" w:ascii="Times New Roman" w:hAnsi="Times New Roman" w:eastAsia="仿宋_GB2312" w:cs="Times New Roman"/>
          <w:color w:val="auto"/>
          <w:sz w:val="30"/>
          <w:szCs w:val="30"/>
          <w:u w:val="none"/>
          <w:lang w:eastAsia="zh-CN"/>
        </w:rPr>
        <w:t>重点支持省内相关机构和单位，围绕三州</w:t>
      </w:r>
      <w:r>
        <w:rPr>
          <w:rFonts w:hint="default" w:ascii="Times New Roman" w:hAnsi="Times New Roman" w:eastAsia="仿宋_GB2312" w:cs="Times New Roman"/>
          <w:color w:val="auto"/>
          <w:sz w:val="30"/>
          <w:szCs w:val="30"/>
          <w:highlight w:val="none"/>
          <w:u w:val="none"/>
          <w:lang w:eastAsia="zh-CN"/>
        </w:rPr>
        <w:t>地区</w:t>
      </w:r>
      <w:r>
        <w:rPr>
          <w:rFonts w:hint="default" w:ascii="Times New Roman" w:hAnsi="Times New Roman" w:eastAsia="仿宋_GB2312" w:cs="Times New Roman"/>
          <w:color w:val="auto"/>
          <w:sz w:val="30"/>
          <w:szCs w:val="30"/>
          <w:u w:val="none"/>
          <w:lang w:eastAsia="zh-CN"/>
        </w:rPr>
        <w:t>（阿坝、甘孜、凉山）</w:t>
      </w:r>
      <w:r>
        <w:rPr>
          <w:rFonts w:hint="default" w:ascii="Times New Roman" w:hAnsi="Times New Roman" w:eastAsia="仿宋_GB2312" w:cs="Times New Roman"/>
          <w:color w:val="auto"/>
          <w:sz w:val="30"/>
          <w:szCs w:val="30"/>
          <w:highlight w:val="none"/>
          <w:u w:val="none"/>
          <w:lang w:eastAsia="zh-CN"/>
        </w:rPr>
        <w:t>，</w:t>
      </w:r>
      <w:r>
        <w:rPr>
          <w:rFonts w:hint="default" w:ascii="Times New Roman" w:hAnsi="Times New Roman" w:eastAsia="仿宋_GB2312" w:cs="Times New Roman"/>
          <w:color w:val="auto"/>
          <w:sz w:val="30"/>
          <w:szCs w:val="30"/>
          <w:u w:val="none"/>
          <w:lang w:eastAsia="zh-CN"/>
        </w:rPr>
        <w:t>开展科普知识培训活动。</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b/>
          <w:bCs/>
          <w:color w:val="auto"/>
          <w:sz w:val="30"/>
          <w:szCs w:val="30"/>
          <w:highlight w:val="none"/>
          <w:lang w:eastAsia="zh-CN"/>
        </w:rPr>
      </w:pPr>
      <w:r>
        <w:rPr>
          <w:rFonts w:hint="default" w:ascii="Times New Roman" w:hAnsi="Times New Roman" w:eastAsia="仿宋_GB2312" w:cs="Times New Roman"/>
          <w:b/>
          <w:bCs/>
          <w:color w:val="auto"/>
          <w:sz w:val="30"/>
          <w:szCs w:val="30"/>
          <w:highlight w:val="none"/>
          <w:lang w:eastAsia="zh-CN"/>
        </w:rPr>
        <w:t>相关要求：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eastAsia="zh-CN"/>
        </w:rPr>
        <w:t>（1）聚焦国、省级高新区科普工作实际需求，重点依托区域内相关机构，面向公众开展科普培训活动。</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（2）聚焦省内</w:t>
      </w:r>
      <w:r>
        <w:rPr>
          <w:rFonts w:hint="default" w:ascii="Times New Roman" w:hAnsi="Times New Roman" w:eastAsia="仿宋_GB2312" w:cs="Times New Roman"/>
          <w:color w:val="auto"/>
          <w:sz w:val="30"/>
          <w:szCs w:val="30"/>
          <w:u w:val="none"/>
          <w:lang w:eastAsia="zh-CN"/>
        </w:rPr>
        <w:t>三州</w:t>
      </w:r>
      <w:r>
        <w:rPr>
          <w:rFonts w:hint="default" w:ascii="Times New Roman" w:hAnsi="Times New Roman" w:eastAsia="仿宋_GB2312" w:cs="Times New Roman"/>
          <w:color w:val="auto"/>
          <w:sz w:val="30"/>
          <w:szCs w:val="30"/>
          <w:lang w:eastAsia="zh-CN"/>
        </w:rPr>
        <w:t>地区科普工作实际需求，依托省、市（州）、县（区）相关机构，科研院所、企业、医疗卫生机构，协会等，鼓励采用汉藏双语的培训教材，围绕科普人才培养、生态环保、致富技能、防灾减灾、生活常识等，面向公众开展科普培训活动。</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3</w:t>
      </w:r>
      <w:r>
        <w:rPr>
          <w:rFonts w:hint="default" w:ascii="Times New Roman" w:hAnsi="Times New Roman" w:eastAsia="仿宋_GB2312" w:cs="Times New Roman"/>
          <w:color w:val="auto"/>
          <w:sz w:val="30"/>
          <w:szCs w:val="30"/>
          <w:lang w:eastAsia="zh-CN"/>
        </w:rPr>
        <w:t>）须具备完整的项目计划书和实施方案（包含培训教材、相应的科普资料、具体实施计划等），举办培训活动不少于4次，</w:t>
      </w:r>
      <w:r>
        <w:rPr>
          <w:rFonts w:hint="default" w:ascii="Times New Roman" w:hAnsi="Times New Roman" w:eastAsia="仿宋_GB2312" w:cs="Times New Roman"/>
          <w:color w:val="auto"/>
          <w:sz w:val="30"/>
          <w:szCs w:val="30"/>
          <w:highlight w:val="none"/>
          <w:lang w:eastAsia="zh-CN"/>
        </w:rPr>
        <w:t>鼓励通过“线上</w:t>
      </w:r>
      <w:r>
        <w:rPr>
          <w:rFonts w:hint="default" w:ascii="Times New Roman" w:hAnsi="Times New Roman" w:eastAsia="仿宋_GB2312" w:cs="Times New Roman"/>
          <w:color w:val="auto"/>
          <w:sz w:val="30"/>
          <w:szCs w:val="30"/>
          <w:highlight w:val="none"/>
          <w:lang w:val="en-US" w:eastAsia="zh-CN"/>
        </w:rPr>
        <w:t>+线下</w:t>
      </w:r>
      <w:r>
        <w:rPr>
          <w:rFonts w:hint="default" w:ascii="Times New Roman" w:hAnsi="Times New Roman" w:eastAsia="仿宋_GB2312" w:cs="Times New Roman"/>
          <w:color w:val="auto"/>
          <w:sz w:val="30"/>
          <w:szCs w:val="30"/>
          <w:highlight w:val="none"/>
          <w:lang w:eastAsia="zh-CN"/>
        </w:rPr>
        <w:t>”的方式开展培训，</w:t>
      </w:r>
      <w:r>
        <w:rPr>
          <w:rFonts w:hint="default" w:ascii="Times New Roman" w:hAnsi="Times New Roman" w:eastAsia="仿宋_GB2312" w:cs="Times New Roman"/>
          <w:color w:val="auto"/>
          <w:sz w:val="30"/>
          <w:szCs w:val="30"/>
          <w:lang w:eastAsia="zh-CN"/>
        </w:rPr>
        <w:t>培训人数累计不低于</w:t>
      </w:r>
      <w:r>
        <w:rPr>
          <w:rFonts w:hint="default" w:ascii="Times New Roman" w:hAnsi="Times New Roman" w:eastAsia="仿宋_GB2312" w:cs="Times New Roman"/>
          <w:color w:val="auto"/>
          <w:sz w:val="30"/>
          <w:szCs w:val="30"/>
          <w:lang w:val="en-US" w:eastAsia="zh-CN"/>
        </w:rPr>
        <w:t>10</w:t>
      </w:r>
      <w:r>
        <w:rPr>
          <w:rFonts w:hint="default" w:ascii="Times New Roman" w:hAnsi="Times New Roman" w:eastAsia="仿宋_GB2312" w:cs="Times New Roman"/>
          <w:color w:val="auto"/>
          <w:sz w:val="30"/>
          <w:szCs w:val="30"/>
          <w:lang w:eastAsia="zh-CN"/>
        </w:rPr>
        <w:t>00人次。</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4</w:t>
      </w:r>
      <w:r>
        <w:rPr>
          <w:rFonts w:hint="default" w:ascii="Times New Roman" w:hAnsi="Times New Roman" w:eastAsia="仿宋_GB2312" w:cs="Times New Roman"/>
          <w:color w:val="auto"/>
          <w:sz w:val="30"/>
          <w:szCs w:val="30"/>
          <w:lang w:eastAsia="zh-CN"/>
        </w:rPr>
        <w:t>）鼓励录制培训视频，并通过官方网站、官方APP等网络进行共享。</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楷体_GB2312" w:hAnsi="楷体_GB2312" w:eastAsia="楷体_GB2312" w:cs="楷体_GB2312"/>
          <w:b w:val="0"/>
          <w:bCs w:val="0"/>
          <w:color w:val="auto"/>
          <w:sz w:val="30"/>
          <w:szCs w:val="30"/>
          <w:lang w:eastAsia="zh-CN"/>
        </w:rPr>
      </w:pPr>
      <w:r>
        <w:rPr>
          <w:rFonts w:hint="default" w:ascii="楷体_GB2312" w:hAnsi="楷体_GB2312" w:eastAsia="楷体_GB2312" w:cs="楷体_GB2312"/>
          <w:b w:val="0"/>
          <w:bCs w:val="0"/>
          <w:color w:val="auto"/>
          <w:sz w:val="30"/>
          <w:szCs w:val="30"/>
          <w:lang w:eastAsia="zh-CN"/>
        </w:rPr>
        <w:t>（二）科普作品。</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重点支持围绕国、省级高新区科技创新知识科普化，创作、翻译科普图书、短视频。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重点支持围绕</w:t>
      </w:r>
      <w:r>
        <w:rPr>
          <w:rFonts w:hint="default" w:ascii="Times New Roman" w:hAnsi="Times New Roman" w:eastAsia="仿宋_GB2312" w:cs="Times New Roman"/>
          <w:color w:val="auto"/>
          <w:sz w:val="30"/>
          <w:szCs w:val="30"/>
          <w:u w:val="none"/>
          <w:lang w:eastAsia="zh-CN"/>
        </w:rPr>
        <w:t>三州</w:t>
      </w:r>
      <w:r>
        <w:rPr>
          <w:rFonts w:hint="default" w:ascii="Times New Roman" w:hAnsi="Times New Roman" w:eastAsia="仿宋_GB2312" w:cs="Times New Roman"/>
          <w:color w:val="auto"/>
          <w:sz w:val="30"/>
          <w:szCs w:val="30"/>
          <w:lang w:eastAsia="zh-CN"/>
        </w:rPr>
        <w:t>地区民族特色，创作、翻译汉藏双语的科普图书、短视频。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b/>
          <w:bCs/>
          <w:color w:val="auto"/>
          <w:sz w:val="30"/>
          <w:szCs w:val="30"/>
          <w:lang w:eastAsia="zh-CN"/>
        </w:rPr>
      </w:pPr>
      <w:r>
        <w:rPr>
          <w:rFonts w:hint="default" w:ascii="Times New Roman" w:hAnsi="Times New Roman" w:eastAsia="仿宋_GB2312" w:cs="Times New Roman"/>
          <w:b/>
          <w:bCs/>
          <w:color w:val="auto"/>
          <w:sz w:val="30"/>
          <w:szCs w:val="30"/>
          <w:lang w:eastAsia="zh-CN"/>
        </w:rPr>
        <w:t>1．科普图书创作、翻译。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相关要求：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（1）重点支持汉藏双语的科普作品创作、以及国内外优秀科普作品的藏语化翻译。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（2）作品应具备普及科学技术知识、倡导科学方法、传播科学思想、弘扬科学精神的内涵；具有较强的科学性、知识性、趣味性、可读性，内容丰富、形式活泼、通俗易懂、图文并茂。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（3）作者应承诺作品的原创性，保证拥有作品的自主知识产权，不存在知识产权争议。</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（4）应提供作品的内容介绍（不少于800字）及能反映作品内容特色的部分样章。</w:t>
      </w:r>
    </w:p>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firstLine="600" w:firstLineChars="200"/>
        <w:jc w:val="both"/>
        <w:textAlignment w:val="auto"/>
        <w:rPr>
          <w:rFonts w:hint="default" w:ascii="Times New Roman" w:hAnsi="Times New Roman" w:eastAsia="仿宋_GB2312" w:cs="Times New Roman"/>
          <w:color w:val="auto"/>
          <w:sz w:val="30"/>
          <w:szCs w:val="30"/>
          <w:u w:val="none"/>
          <w:lang w:eastAsia="zh-CN"/>
        </w:rPr>
      </w:pPr>
      <w:r>
        <w:rPr>
          <w:rFonts w:hint="default" w:ascii="Times New Roman" w:hAnsi="Times New Roman" w:eastAsia="仿宋_GB2312" w:cs="Times New Roman"/>
          <w:color w:val="auto"/>
          <w:sz w:val="30"/>
          <w:szCs w:val="30"/>
          <w:u w:val="none"/>
          <w:lang w:eastAsia="zh-CN"/>
        </w:rPr>
        <w:t>（</w:t>
      </w:r>
      <w:r>
        <w:rPr>
          <w:rFonts w:hint="default" w:ascii="Times New Roman" w:hAnsi="Times New Roman" w:eastAsia="仿宋_GB2312" w:cs="Times New Roman"/>
          <w:color w:val="auto"/>
          <w:sz w:val="30"/>
          <w:szCs w:val="30"/>
          <w:u w:val="none"/>
          <w:lang w:val="en-US" w:eastAsia="zh-CN"/>
        </w:rPr>
        <w:t>5</w:t>
      </w:r>
      <w:r>
        <w:rPr>
          <w:rFonts w:hint="default" w:ascii="Times New Roman" w:hAnsi="Times New Roman" w:eastAsia="仿宋_GB2312" w:cs="Times New Roman"/>
          <w:color w:val="auto"/>
          <w:sz w:val="30"/>
          <w:szCs w:val="30"/>
          <w:u w:val="none"/>
          <w:lang w:eastAsia="zh-CN"/>
        </w:rPr>
        <w:t>）作品应计划于202</w:t>
      </w:r>
      <w:r>
        <w:rPr>
          <w:rFonts w:hint="default" w:ascii="Times New Roman" w:hAnsi="Times New Roman" w:eastAsia="仿宋_GB2312" w:cs="Times New Roman"/>
          <w:color w:val="auto"/>
          <w:sz w:val="30"/>
          <w:szCs w:val="30"/>
          <w:u w:val="none"/>
          <w:lang w:val="en" w:eastAsia="zh-CN"/>
        </w:rPr>
        <w:t>4</w:t>
      </w:r>
      <w:r>
        <w:rPr>
          <w:rFonts w:hint="default" w:ascii="Times New Roman" w:hAnsi="Times New Roman" w:eastAsia="仿宋_GB2312" w:cs="Times New Roman"/>
          <w:color w:val="auto"/>
          <w:sz w:val="30"/>
          <w:szCs w:val="30"/>
          <w:u w:val="none"/>
          <w:lang w:eastAsia="zh-CN"/>
        </w:rPr>
        <w:t>年底前由国家正规出版社正式出版，有正规出版合同。</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b/>
          <w:bCs/>
          <w:color w:val="auto"/>
          <w:sz w:val="30"/>
          <w:szCs w:val="30"/>
          <w:lang w:eastAsia="zh-CN"/>
        </w:rPr>
      </w:pPr>
      <w:r>
        <w:rPr>
          <w:rFonts w:hint="default" w:ascii="Times New Roman" w:hAnsi="Times New Roman" w:eastAsia="仿宋_GB2312" w:cs="Times New Roman"/>
          <w:b/>
          <w:bCs/>
          <w:color w:val="auto"/>
          <w:sz w:val="30"/>
          <w:szCs w:val="30"/>
          <w:lang w:eastAsia="zh-CN"/>
        </w:rPr>
        <w:t>2. 科普短视频创作、翻译。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科普短视频可包括纪录短片、微动画、微动漫、微电影等形式。</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相关要求：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（1）重点支持汉藏双语的科普视频创作、以及国内外优秀科普视频的藏语化翻译。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（2）作品内容须围绕普及科学知识、倡导科学方法、传播科学思想、弘扬科学精神，相关知识点需具备可信任科学来源；</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（3）作品应采取通俗易懂、生动有趣、制作精良的艺术表现形式，具备完整艺术构思并完成脚本和试制样片，叙事逻辑清晰，有助于启发和提高公众对科学的兴趣，便于公众理解、接受科学知识；</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（4）科普微电影等单体视频类作品，须至少达到高清制作标准，一般单个电影时长5-15分钟；</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（5）系列短视频类作品，一般每集时长2-5分钟，不少于5集；</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lang w:eastAsia="zh-CN"/>
        </w:rPr>
        <w:t>）申报作品必须原创，应提供原始拍摄素材、矢量图、三维建模文件、时间线工程文件等原始证明材料，引用内容无版权风险；</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color w:val="auto"/>
          <w:sz w:val="30"/>
          <w:szCs w:val="30"/>
          <w:lang w:eastAsia="zh-CN"/>
        </w:rPr>
        <w:t>）申报作品完成后应通过国内权威媒体、科研院所、学校、相关专业企事业机构的官方网站、官方APP、头条号、百家号、微博号、微信公众号等认证帐号发布，并最终实现单体视频类作品累积播放量不低于5万次，系列短视频类作品累积播放量不低于20万次。</w:t>
      </w:r>
    </w:p>
    <w:p>
      <w:pPr>
        <w:pStyle w:val="8"/>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Times New Roman" w:hAnsi="Times New Roman" w:cs="Times New Roman"/>
          <w:color w:val="auto"/>
          <w:sz w:val="30"/>
          <w:szCs w:val="30"/>
          <w:lang w:eastAsia="zh-CN"/>
        </w:rPr>
      </w:pP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8</w:t>
      </w:r>
      <w:r>
        <w:rPr>
          <w:rFonts w:hint="default" w:ascii="Times New Roman" w:hAnsi="Times New Roman" w:eastAsia="仿宋_GB2312" w:cs="Times New Roman"/>
          <w:color w:val="auto"/>
          <w:sz w:val="30"/>
          <w:szCs w:val="30"/>
          <w:lang w:eastAsia="zh-CN"/>
        </w:rPr>
        <w:t>）鼓励发挥</w:t>
      </w:r>
      <w:r>
        <w:rPr>
          <w:rFonts w:hint="default" w:ascii="Times New Roman" w:hAnsi="Times New Roman" w:eastAsia="仿宋_GB2312" w:cs="Times New Roman"/>
          <w:color w:val="auto"/>
          <w:sz w:val="30"/>
          <w:szCs w:val="30"/>
          <w:u w:val="none"/>
          <w:lang w:eastAsia="zh-CN"/>
        </w:rPr>
        <w:t>三州</w:t>
      </w:r>
      <w:r>
        <w:rPr>
          <w:rFonts w:hint="default" w:ascii="Times New Roman" w:hAnsi="Times New Roman" w:eastAsia="仿宋_GB2312" w:cs="Times New Roman"/>
          <w:color w:val="auto"/>
          <w:sz w:val="30"/>
          <w:szCs w:val="30"/>
          <w:lang w:eastAsia="zh-CN"/>
        </w:rPr>
        <w:t>地区网络代表人士的作用，积极参与科普视频制作和翻译。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黑体" w:cs="Times New Roman"/>
          <w:color w:val="auto"/>
          <w:sz w:val="30"/>
          <w:szCs w:val="30"/>
          <w:lang w:eastAsia="zh-CN"/>
        </w:rPr>
        <w:t>——有关要求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（一）申报的项目应符合本指南所明确的支持方向，并在四川省内实施。项目申报单位应是在四川省内注册的独立法人单位，具有为项目实施提供相应场地设施和人才队伍等的能力和条件。</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（二）申报科普项目对自筹资金与申请经费的比例不做要求。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（三）多家单位联合申报时，须在申报材料中明确各参与单位承担的工作和职责。</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（四）项目负责人应具有相应的科技专业水平和科普工作经验，并具备完成项目的组织管理和协调能力。</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（五）项目承担单位须承诺将由财政资金支持取得的科普作品项目成果在全省范围内举行的科技活动周、科普活动月、送科技下乡、涉藏地区科普赋能行动等国家和省级重大群众性科普活动中推广应用。</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600" w:firstLineChars="200"/>
        <w:jc w:val="both"/>
        <w:textAlignment w:val="auto"/>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（六）项目申报单位应分别填写《四川省科技培训项目申报书》《四川省科普作品创作项目申报书》，承诺内容详实，数据准确。</w:t>
      </w:r>
    </w:p>
    <w:p>
      <w:pPr>
        <w:pStyle w:val="7"/>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30"/>
          <w:szCs w:val="30"/>
          <w:lang w:val="en-US" w:eastAsia="zh-CN"/>
        </w:rPr>
        <w:sectPr>
          <w:pgSz w:w="11906" w:h="16838"/>
          <w:pgMar w:top="2098" w:right="1474" w:bottom="1985" w:left="1588" w:header="851" w:footer="992" w:gutter="0"/>
          <w:pgNumType w:fmt="decimal"/>
          <w:cols w:space="720" w:num="1"/>
          <w:docGrid w:type="linesAndChars" w:linePitch="312" w:charSpace="0"/>
        </w:sectPr>
      </w:pPr>
    </w:p>
    <w:p>
      <w:pPr>
        <w:pStyle w:val="7"/>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黑体" w:cs="Times New Roman"/>
          <w:spacing w:val="-20"/>
          <w:sz w:val="32"/>
          <w:szCs w:val="32"/>
          <w:lang w:val="en-US" w:eastAsia="zh-CN"/>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pacing w:val="-20"/>
          <w:sz w:val="32"/>
          <w:szCs w:val="32"/>
          <w:lang w:val="en-US" w:eastAsia="zh-CN"/>
        </w:rPr>
        <w:t>科技创新创业人才及苗子工程</w:t>
      </w:r>
    </w:p>
    <w:p>
      <w:pPr>
        <w:keepNext w:val="0"/>
        <w:keepLines w:val="0"/>
        <w:pageBreakBefore w:val="0"/>
        <w:widowControl w:val="0"/>
        <w:suppressAutoHyphens/>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（该指南在线填写“四川省科技创新人才项目申报书”“四川省科技创业人才项目申报书”“四川省科技创新创业苗子工程项目申报书”。指南咨询：叶千 028-86728520）</w:t>
      </w:r>
    </w:p>
    <w:p>
      <w:pPr>
        <w:keepNext w:val="0"/>
        <w:keepLines w:val="0"/>
        <w:pageBreakBefore w:val="0"/>
        <w:widowControl w:val="0"/>
        <w:kinsoku/>
        <w:wordWrap/>
        <w:overflowPunct/>
        <w:topLinePunct w:val="0"/>
        <w:autoSpaceDE/>
        <w:autoSpaceDN/>
        <w:bidi w:val="0"/>
        <w:adjustRightInd/>
        <w:snapToGrid/>
        <w:spacing w:after="0" w:line="500" w:lineRule="exact"/>
        <w:ind w:firstLine="641"/>
        <w:jc w:val="both"/>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黑体"/>
          <w:kern w:val="2"/>
          <w:sz w:val="30"/>
          <w:szCs w:val="30"/>
        </w:rPr>
      </w:pPr>
      <w:r>
        <w:rPr>
          <w:rFonts w:hint="default" w:ascii="Times New Roman" w:hAnsi="Times New Roman" w:eastAsia="黑体" w:cs="Times New Roman"/>
          <w:color w:val="auto"/>
          <w:sz w:val="30"/>
          <w:szCs w:val="30"/>
          <w:lang w:eastAsia="zh-CN"/>
        </w:rPr>
        <w:t>——</w:t>
      </w:r>
      <w:r>
        <w:rPr>
          <w:rFonts w:hint="eastAsia" w:ascii="Times New Roman" w:hAnsi="Times New Roman" w:eastAsia="黑体"/>
          <w:kern w:val="2"/>
          <w:sz w:val="30"/>
          <w:szCs w:val="30"/>
        </w:rPr>
        <w:t>总体绩效目标</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hint="eastAsia" w:ascii="Times New Roman" w:hAnsi="Times New Roman" w:eastAsia="仿宋_GB2312"/>
          <w:kern w:val="2"/>
          <w:sz w:val="30"/>
          <w:szCs w:val="30"/>
        </w:rPr>
        <w:t>支持</w:t>
      </w:r>
      <w:r>
        <w:rPr>
          <w:rFonts w:ascii="Times New Roman" w:hAnsi="Times New Roman" w:eastAsia="仿宋_GB2312"/>
          <w:kern w:val="2"/>
          <w:sz w:val="30"/>
          <w:szCs w:val="30"/>
        </w:rPr>
        <w:t>一批科技创新人才、科技创业人才</w:t>
      </w:r>
      <w:r>
        <w:rPr>
          <w:rFonts w:hint="eastAsia" w:ascii="Times New Roman" w:hAnsi="Times New Roman" w:eastAsia="仿宋_GB2312"/>
          <w:kern w:val="2"/>
          <w:sz w:val="30"/>
          <w:szCs w:val="30"/>
        </w:rPr>
        <w:t>和</w:t>
      </w:r>
      <w:r>
        <w:rPr>
          <w:rFonts w:ascii="Times New Roman" w:hAnsi="Times New Roman" w:eastAsia="仿宋_GB2312"/>
          <w:kern w:val="2"/>
          <w:sz w:val="30"/>
          <w:szCs w:val="30"/>
        </w:rPr>
        <w:t>科技创新创业苗子</w:t>
      </w:r>
      <w:r>
        <w:rPr>
          <w:rFonts w:hint="eastAsia" w:ascii="Times New Roman" w:hAnsi="Times New Roman" w:eastAsia="仿宋_GB2312"/>
          <w:kern w:val="2"/>
          <w:sz w:val="30"/>
          <w:szCs w:val="30"/>
        </w:rPr>
        <w:t>，示范带动各地、各相关单位培养、引进、用好科技人才</w:t>
      </w:r>
      <w:r>
        <w:rPr>
          <w:rFonts w:ascii="Times New Roman" w:hAnsi="Times New Roman" w:eastAsia="仿宋_GB2312"/>
          <w:kern w:val="2"/>
          <w:sz w:val="30"/>
          <w:szCs w:val="30"/>
        </w:rPr>
        <w:t>。</w:t>
      </w:r>
    </w:p>
    <w:p>
      <w:pPr>
        <w:keepNext w:val="0"/>
        <w:keepLines w:val="0"/>
        <w:pageBreakBefore w:val="0"/>
        <w:widowControl w:val="0"/>
        <w:kinsoku/>
        <w:wordWrap/>
        <w:overflowPunct/>
        <w:topLinePunct w:val="0"/>
        <w:autoSpaceDE/>
        <w:autoSpaceDN/>
        <w:bidi w:val="0"/>
        <w:adjustRightInd/>
        <w:snapToGrid/>
        <w:spacing w:after="0" w:line="360" w:lineRule="exact"/>
        <w:ind w:firstLine="600" w:firstLineChars="200"/>
        <w:jc w:val="both"/>
        <w:textAlignment w:val="auto"/>
        <w:rPr>
          <w:rFonts w:ascii="Times New Roman" w:hAnsi="Times New Roman" w:eastAsia="黑体"/>
          <w:kern w:val="2"/>
          <w:sz w:val="30"/>
          <w:szCs w:val="30"/>
        </w:rPr>
      </w:pPr>
      <w:r>
        <w:rPr>
          <w:rFonts w:hint="default" w:ascii="Times New Roman" w:hAnsi="Times New Roman" w:eastAsia="黑体" w:cs="Times New Roman"/>
          <w:color w:val="auto"/>
          <w:sz w:val="30"/>
          <w:szCs w:val="30"/>
          <w:lang w:eastAsia="zh-CN"/>
        </w:rPr>
        <w:t>——</w:t>
      </w:r>
      <w:r>
        <w:rPr>
          <w:rFonts w:hint="eastAsia" w:ascii="Times New Roman" w:hAnsi="Times New Roman" w:eastAsia="黑体"/>
          <w:kern w:val="2"/>
          <w:sz w:val="30"/>
          <w:szCs w:val="30"/>
        </w:rPr>
        <w:t>支持类型和经费</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宋体"/>
          <w:kern w:val="2"/>
          <w:sz w:val="30"/>
          <w:szCs w:val="30"/>
        </w:rPr>
      </w:pPr>
      <w:r>
        <w:rPr>
          <w:rFonts w:ascii="Times New Roman" w:hAnsi="Times New Roman" w:eastAsia="仿宋_GB2312"/>
          <w:kern w:val="2"/>
          <w:sz w:val="30"/>
          <w:szCs w:val="30"/>
        </w:rPr>
        <w:t>专项资金采取前补助支持方式</w:t>
      </w:r>
      <w:r>
        <w:rPr>
          <w:rFonts w:hint="eastAsia" w:ascii="Times New Roman" w:hAnsi="Times New Roman" w:eastAsia="仿宋_GB2312"/>
          <w:kern w:val="2"/>
          <w:sz w:val="30"/>
          <w:szCs w:val="30"/>
        </w:rPr>
        <w:t>，入选人才取得的补助须专款专用</w:t>
      </w:r>
      <w:r>
        <w:rPr>
          <w:rFonts w:ascii="Times New Roman" w:hAnsi="Times New Roman" w:eastAsia="仿宋_GB2312"/>
          <w:kern w:val="2"/>
          <w:sz w:val="30"/>
          <w:szCs w:val="30"/>
        </w:rPr>
        <w:t>。</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科技创新创业人才及苗子工程项目分为科技创新人才、科技创业人才</w:t>
      </w:r>
      <w:r>
        <w:rPr>
          <w:rFonts w:hint="eastAsia" w:ascii="Times New Roman" w:hAnsi="Times New Roman" w:eastAsia="仿宋_GB2312"/>
          <w:kern w:val="2"/>
          <w:sz w:val="30"/>
          <w:szCs w:val="30"/>
        </w:rPr>
        <w:t>和</w:t>
      </w:r>
      <w:r>
        <w:rPr>
          <w:rFonts w:ascii="Times New Roman" w:hAnsi="Times New Roman" w:eastAsia="仿宋_GB2312"/>
          <w:kern w:val="2"/>
          <w:sz w:val="30"/>
          <w:szCs w:val="30"/>
        </w:rPr>
        <w:t>科技创新创业苗子工程</w:t>
      </w:r>
      <w:r>
        <w:rPr>
          <w:rFonts w:hint="eastAsia" w:ascii="Times New Roman" w:hAnsi="Times New Roman" w:eastAsia="仿宋_GB2312"/>
          <w:kern w:val="2"/>
          <w:sz w:val="30"/>
          <w:szCs w:val="30"/>
        </w:rPr>
        <w:t>三个项目，由人才所在单位或依托单位推荐申报</w:t>
      </w:r>
      <w:r>
        <w:rPr>
          <w:rFonts w:ascii="Times New Roman" w:hAnsi="Times New Roman" w:eastAsia="仿宋_GB2312"/>
          <w:kern w:val="2"/>
          <w:sz w:val="30"/>
          <w:szCs w:val="30"/>
        </w:rPr>
        <w:t>。</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宋体"/>
          <w:kern w:val="2"/>
          <w:sz w:val="30"/>
          <w:szCs w:val="30"/>
        </w:rPr>
      </w:pPr>
      <w:r>
        <w:rPr>
          <w:rFonts w:ascii="Times New Roman" w:hAnsi="Times New Roman" w:eastAsia="楷体_GB2312"/>
          <w:kern w:val="2"/>
          <w:sz w:val="30"/>
          <w:szCs w:val="30"/>
        </w:rPr>
        <w:t>（一）科技创新人才</w:t>
      </w:r>
      <w:r>
        <w:rPr>
          <w:rFonts w:hint="eastAsia" w:ascii="Times New Roman" w:hAnsi="Times New Roman" w:eastAsia="楷体_GB2312"/>
          <w:kern w:val="2"/>
          <w:sz w:val="30"/>
          <w:szCs w:val="30"/>
        </w:rPr>
        <w:t>项目</w:t>
      </w:r>
      <w:r>
        <w:rPr>
          <w:rFonts w:ascii="Times New Roman" w:hAnsi="Times New Roman" w:eastAsia="楷体_GB2312"/>
          <w:kern w:val="2"/>
          <w:sz w:val="30"/>
          <w:szCs w:val="30"/>
        </w:rPr>
        <w:t>。</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hint="eastAsia" w:ascii="Times New Roman" w:hAnsi="Times New Roman" w:eastAsia="仿宋_GB2312"/>
          <w:kern w:val="2"/>
          <w:sz w:val="30"/>
          <w:szCs w:val="30"/>
        </w:rPr>
        <w:t>科技创新人才是指在省“十四五”科技创新规划中确立的重点方向取得较高水平创新性成果或具有较大的创新发展潜力的科技人才，并符合下列条件：</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hint="eastAsia" w:ascii="Times New Roman" w:hAnsi="Times New Roman" w:eastAsia="仿宋_GB2312"/>
          <w:kern w:val="2"/>
          <w:sz w:val="30"/>
          <w:szCs w:val="30"/>
        </w:rPr>
        <w:t>1.坚持科学精神，爱国爱民，守法诚信，品行端正，学风正派。</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hint="eastAsia" w:ascii="Times New Roman" w:hAnsi="Times New Roman" w:eastAsia="仿宋_GB2312"/>
          <w:kern w:val="2"/>
          <w:sz w:val="30"/>
          <w:szCs w:val="30"/>
        </w:rPr>
        <w:t>2.与在川单位签订聘用合同3年以上并在获得支持后至少在川单位工作2年，1977年1月1日及以后出生（女性科技人才申报年龄可放宽2岁），具有博士学位或副高级以上职称（“以上”包含本数，下同）；企业科技人才应具有硕士以上学位或副高级以上职称。</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hint="eastAsia" w:ascii="Times New Roman" w:hAnsi="Times New Roman" w:eastAsia="仿宋_GB2312"/>
          <w:kern w:val="2"/>
          <w:sz w:val="30"/>
          <w:szCs w:val="30"/>
        </w:rPr>
        <w:t>3.主持承担过国家或省部级科技项目，在所在行业或领域创新意识强，业绩突出，研究领域引领带动作用明显。</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4.对重点前沿领域和解决“卡脖子”技术问题的急需紧缺人才，同等条件下给予优先支持。</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hint="eastAsia" w:ascii="Times New Roman" w:hAnsi="Times New Roman" w:eastAsia="仿宋_GB2312"/>
          <w:kern w:val="2"/>
          <w:sz w:val="30"/>
          <w:szCs w:val="30"/>
        </w:rPr>
        <w:t>科技创新人才每项支持经费不超过30万元。</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宋体"/>
          <w:kern w:val="2"/>
          <w:sz w:val="30"/>
          <w:szCs w:val="30"/>
        </w:rPr>
      </w:pPr>
      <w:r>
        <w:rPr>
          <w:rFonts w:ascii="Times New Roman" w:hAnsi="Times New Roman" w:eastAsia="楷体_GB2312"/>
          <w:kern w:val="2"/>
          <w:sz w:val="30"/>
          <w:szCs w:val="30"/>
        </w:rPr>
        <w:t>（二）科技创业人才</w:t>
      </w:r>
      <w:r>
        <w:rPr>
          <w:rFonts w:hint="eastAsia" w:ascii="Times New Roman" w:hAnsi="Times New Roman" w:eastAsia="楷体_GB2312"/>
          <w:kern w:val="2"/>
          <w:sz w:val="30"/>
          <w:szCs w:val="30"/>
        </w:rPr>
        <w:t>项目</w:t>
      </w:r>
      <w:r>
        <w:rPr>
          <w:rFonts w:ascii="Times New Roman" w:hAnsi="Times New Roman" w:eastAsia="楷体_GB2312"/>
          <w:kern w:val="2"/>
          <w:sz w:val="30"/>
          <w:szCs w:val="30"/>
        </w:rPr>
        <w:t>。</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hint="eastAsia" w:ascii="Times New Roman" w:hAnsi="Times New Roman" w:eastAsia="仿宋_GB2312"/>
          <w:kern w:val="2"/>
          <w:sz w:val="30"/>
          <w:szCs w:val="30"/>
        </w:rPr>
        <w:t>科技创业人才是运用合法拥有的知识产权创办科技型企业的人才。创业项目应符合本指南支持方向和重点，并符合下列条件：</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hint="eastAsia" w:ascii="Times New Roman" w:hAnsi="Times New Roman" w:eastAsia="仿宋_GB2312"/>
          <w:kern w:val="2"/>
          <w:sz w:val="30"/>
          <w:szCs w:val="30"/>
        </w:rPr>
        <w:t>1.坚守企业家精神，爱国爱民，守法诚信，品行端正，作风正派，依法经营。</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hint="eastAsia" w:ascii="Times New Roman" w:hAnsi="Times New Roman" w:eastAsia="仿宋_GB2312"/>
          <w:kern w:val="2"/>
          <w:sz w:val="30"/>
          <w:szCs w:val="30"/>
        </w:rPr>
        <w:t>2.申报人为企业主要创办者或实际控制人（企业第一大股东或法定代表人，</w:t>
      </w:r>
      <w:r>
        <w:rPr>
          <w:rFonts w:hint="eastAsia" w:ascii="Times New Roman" w:hAnsi="Times New Roman" w:eastAsia="仿宋_GB2312"/>
          <w:b/>
          <w:kern w:val="2"/>
          <w:sz w:val="30"/>
          <w:szCs w:val="30"/>
        </w:rPr>
        <w:t>以工商部门备案的企业章程为准</w:t>
      </w:r>
      <w:r>
        <w:rPr>
          <w:rFonts w:hint="eastAsia" w:ascii="Times New Roman" w:hAnsi="Times New Roman" w:eastAsia="仿宋_GB2312"/>
          <w:kern w:val="2"/>
          <w:sz w:val="30"/>
          <w:szCs w:val="30"/>
        </w:rPr>
        <w:t>），1977年1月1日及以后出生（女性科技人才申报年龄可放宽2岁），创办的企业在2017年1月1日及以后在四川省内办理工商注册，拥有核心技术或合法知识产权。创办5年以上（2016年12月31日及以前注册）的企业，最近2年连续盈利且净利润累计不少于400万元。</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hint="eastAsia" w:ascii="Times New Roman" w:hAnsi="Times New Roman" w:eastAsia="仿宋_GB2312"/>
          <w:kern w:val="2"/>
          <w:sz w:val="30"/>
          <w:szCs w:val="30"/>
        </w:rPr>
        <w:t>3.企业具有较强科技成果转化能力，开发的产品技术先进或服务模式创新，具有较强的市场潜力和竞争力。</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4.创办领办企业从事“卡脖子”技术产品研发和生产、“高精尖缺”类替代进口产品研发和生产的人才，同等条件下给予优先支持。</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科技创业人才每项支持经费不超过30万元。</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宋体"/>
          <w:kern w:val="2"/>
          <w:sz w:val="30"/>
          <w:szCs w:val="30"/>
        </w:rPr>
      </w:pPr>
      <w:r>
        <w:rPr>
          <w:rFonts w:ascii="Times New Roman" w:hAnsi="Times New Roman" w:eastAsia="楷体_GB2312"/>
          <w:kern w:val="2"/>
          <w:sz w:val="30"/>
          <w:szCs w:val="30"/>
        </w:rPr>
        <w:t>（三）科技创新创业苗子工程</w:t>
      </w:r>
      <w:r>
        <w:rPr>
          <w:rFonts w:hint="eastAsia" w:ascii="Times New Roman" w:hAnsi="Times New Roman" w:eastAsia="楷体_GB2312"/>
          <w:kern w:val="2"/>
          <w:sz w:val="30"/>
          <w:szCs w:val="30"/>
        </w:rPr>
        <w:t>项目</w:t>
      </w:r>
      <w:r>
        <w:rPr>
          <w:rFonts w:ascii="Times New Roman" w:hAnsi="Times New Roman" w:eastAsia="楷体_GB2312"/>
          <w:kern w:val="2"/>
          <w:sz w:val="30"/>
          <w:szCs w:val="30"/>
        </w:rPr>
        <w:t>。</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采取</w:t>
      </w:r>
      <w:r>
        <w:rPr>
          <w:rFonts w:hint="eastAsia" w:ascii="Times New Roman" w:hAnsi="Times New Roman" w:eastAsia="仿宋_GB2312"/>
          <w:kern w:val="2"/>
          <w:sz w:val="30"/>
          <w:szCs w:val="30"/>
        </w:rPr>
        <w:t>“</w:t>
      </w:r>
      <w:r>
        <w:rPr>
          <w:rFonts w:ascii="Times New Roman" w:hAnsi="Times New Roman" w:eastAsia="仿宋_GB2312"/>
          <w:kern w:val="2"/>
          <w:sz w:val="30"/>
          <w:szCs w:val="30"/>
        </w:rPr>
        <w:t>孵化基地+项目</w:t>
      </w:r>
      <w:r>
        <w:rPr>
          <w:rFonts w:hint="eastAsia" w:ascii="Times New Roman" w:hAnsi="Times New Roman" w:eastAsia="仿宋_GB2312"/>
          <w:kern w:val="2"/>
          <w:sz w:val="30"/>
          <w:szCs w:val="30"/>
        </w:rPr>
        <w:t>”</w:t>
      </w:r>
      <w:r>
        <w:rPr>
          <w:rFonts w:ascii="Times New Roman" w:hAnsi="Times New Roman" w:eastAsia="仿宋_GB2312"/>
          <w:kern w:val="2"/>
          <w:sz w:val="30"/>
          <w:szCs w:val="30"/>
        </w:rPr>
        <w:t>的形式，重点支持具有发展潜力</w:t>
      </w:r>
      <w:r>
        <w:rPr>
          <w:rFonts w:hint="eastAsia" w:ascii="Times New Roman" w:hAnsi="Times New Roman" w:eastAsia="仿宋_GB2312"/>
          <w:kern w:val="2"/>
          <w:sz w:val="30"/>
          <w:szCs w:val="30"/>
        </w:rPr>
        <w:t>和创新能力</w:t>
      </w:r>
      <w:r>
        <w:rPr>
          <w:rFonts w:ascii="Times New Roman" w:hAnsi="Times New Roman" w:eastAsia="仿宋_GB2312"/>
          <w:kern w:val="2"/>
          <w:sz w:val="30"/>
          <w:szCs w:val="30"/>
        </w:rPr>
        <w:t>的创新创业</w:t>
      </w:r>
      <w:r>
        <w:rPr>
          <w:rFonts w:hint="eastAsia" w:ascii="Times New Roman" w:hAnsi="Times New Roman" w:eastAsia="仿宋_GB2312"/>
          <w:kern w:val="2"/>
          <w:sz w:val="30"/>
          <w:szCs w:val="30"/>
        </w:rPr>
        <w:t>人才</w:t>
      </w:r>
      <w:r>
        <w:rPr>
          <w:rFonts w:ascii="Times New Roman" w:hAnsi="Times New Roman" w:eastAsia="仿宋_GB2312"/>
          <w:kern w:val="2"/>
          <w:sz w:val="30"/>
          <w:szCs w:val="30"/>
        </w:rPr>
        <w:t>苗子。其中，科技创新创业苗子工程重点项目</w:t>
      </w:r>
      <w:r>
        <w:rPr>
          <w:rFonts w:hint="eastAsia" w:ascii="Times New Roman" w:hAnsi="Times New Roman" w:eastAsia="仿宋_GB2312"/>
          <w:kern w:val="2"/>
          <w:sz w:val="30"/>
          <w:szCs w:val="30"/>
        </w:rPr>
        <w:t>每项</w:t>
      </w:r>
      <w:r>
        <w:rPr>
          <w:rFonts w:ascii="Times New Roman" w:hAnsi="Times New Roman" w:eastAsia="仿宋_GB2312"/>
          <w:kern w:val="2"/>
          <w:sz w:val="30"/>
          <w:szCs w:val="30"/>
        </w:rPr>
        <w:t>支持经费不超过10万</w:t>
      </w:r>
      <w:r>
        <w:rPr>
          <w:rFonts w:hint="eastAsia" w:ascii="Times New Roman" w:hAnsi="Times New Roman" w:eastAsia="仿宋_GB2312"/>
          <w:kern w:val="2"/>
          <w:sz w:val="30"/>
          <w:szCs w:val="30"/>
        </w:rPr>
        <w:t>元，</w:t>
      </w:r>
      <w:r>
        <w:rPr>
          <w:rFonts w:ascii="Times New Roman" w:hAnsi="Times New Roman" w:eastAsia="仿宋_GB2312"/>
          <w:kern w:val="2"/>
          <w:sz w:val="30"/>
          <w:szCs w:val="30"/>
        </w:rPr>
        <w:t>培育项目通过基地支持经费</w:t>
      </w:r>
      <w:r>
        <w:rPr>
          <w:rFonts w:hint="eastAsia" w:ascii="Times New Roman" w:hAnsi="Times New Roman" w:eastAsia="仿宋_GB2312"/>
          <w:kern w:val="2"/>
          <w:sz w:val="30"/>
          <w:szCs w:val="30"/>
        </w:rPr>
        <w:t>每项</w:t>
      </w:r>
      <w:r>
        <w:rPr>
          <w:rFonts w:ascii="Times New Roman" w:hAnsi="Times New Roman" w:eastAsia="仿宋_GB2312"/>
          <w:kern w:val="2"/>
          <w:sz w:val="30"/>
          <w:szCs w:val="30"/>
        </w:rPr>
        <w:t>不超过5万元。</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b/>
          <w:kern w:val="2"/>
          <w:sz w:val="30"/>
          <w:szCs w:val="30"/>
        </w:rPr>
      </w:pPr>
      <w:r>
        <w:rPr>
          <w:rFonts w:ascii="Times New Roman" w:hAnsi="Times New Roman" w:eastAsia="仿宋_GB2312"/>
          <w:b/>
          <w:kern w:val="2"/>
          <w:sz w:val="30"/>
          <w:szCs w:val="30"/>
        </w:rPr>
        <w:t>1.重点项目。</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hint="eastAsia" w:ascii="Times New Roman" w:hAnsi="Times New Roman" w:eastAsia="仿宋_GB2312"/>
          <w:kern w:val="2"/>
          <w:sz w:val="30"/>
          <w:szCs w:val="30"/>
        </w:rPr>
        <w:t>重点支持具有扎实的专业技术基础、掌握先进科学技术理论、具备创新思维的科技人才，或研究成果具有技术先进性、可望进入市场转化或具有一定技术成熟度、市场前景好以及产品已进入实际应用或产业化的科技人才，并符合以下条件：</w:t>
      </w:r>
    </w:p>
    <w:p>
      <w:pPr>
        <w:keepNext w:val="0"/>
        <w:keepLines w:val="0"/>
        <w:pageBreakBefore w:val="0"/>
        <w:widowControl w:val="0"/>
        <w:kinsoku/>
        <w:wordWrap/>
        <w:overflowPunct/>
        <w:topLinePunct w:val="0"/>
        <w:autoSpaceDE/>
        <w:autoSpaceDN/>
        <w:bidi w:val="0"/>
        <w:adjustRightInd/>
        <w:snapToGrid/>
        <w:spacing w:after="0" w:line="360" w:lineRule="exact"/>
        <w:ind w:firstLine="600" w:firstLineChars="200"/>
        <w:jc w:val="both"/>
        <w:textAlignment w:val="auto"/>
        <w:rPr>
          <w:rFonts w:hint="eastAsia" w:ascii="Times New Roman" w:hAnsi="Times New Roman" w:eastAsia="仿宋_GB2312"/>
          <w:kern w:val="2"/>
          <w:sz w:val="30"/>
          <w:szCs w:val="30"/>
        </w:rPr>
      </w:pPr>
      <w:r>
        <w:rPr>
          <w:rFonts w:hint="eastAsia" w:ascii="Times New Roman" w:hAnsi="Times New Roman" w:eastAsia="仿宋_GB2312"/>
          <w:kern w:val="2"/>
          <w:sz w:val="30"/>
          <w:szCs w:val="30"/>
        </w:rPr>
        <w:t>（1）申报人年龄在1987年1月1日及以后出生（女性科技人才申报年龄可放宽2岁）。</w:t>
      </w:r>
    </w:p>
    <w:p>
      <w:pPr>
        <w:keepNext w:val="0"/>
        <w:keepLines w:val="0"/>
        <w:pageBreakBefore w:val="0"/>
        <w:widowControl w:val="0"/>
        <w:kinsoku/>
        <w:wordWrap/>
        <w:overflowPunct/>
        <w:topLinePunct w:val="0"/>
        <w:autoSpaceDE/>
        <w:autoSpaceDN/>
        <w:bidi w:val="0"/>
        <w:adjustRightInd/>
        <w:snapToGrid/>
        <w:spacing w:after="0" w:line="360" w:lineRule="exact"/>
        <w:ind w:firstLine="600" w:firstLineChars="200"/>
        <w:jc w:val="both"/>
        <w:textAlignment w:val="auto"/>
        <w:rPr>
          <w:rFonts w:ascii="Times New Roman" w:hAnsi="Times New Roman" w:eastAsia="仿宋_GB2312"/>
          <w:kern w:val="2"/>
          <w:sz w:val="30"/>
          <w:szCs w:val="30"/>
          <w:u w:val="single"/>
        </w:rPr>
      </w:pPr>
      <w:r>
        <w:rPr>
          <w:rFonts w:hint="eastAsia" w:ascii="Times New Roman" w:hAnsi="Times New Roman" w:eastAsia="仿宋_GB2312"/>
          <w:kern w:val="2"/>
          <w:sz w:val="30"/>
          <w:szCs w:val="30"/>
        </w:rPr>
        <w:t>（2）</w:t>
      </w:r>
      <w:r>
        <w:rPr>
          <w:rFonts w:ascii="Times New Roman" w:hAnsi="Times New Roman" w:eastAsia="仿宋_GB2312"/>
          <w:kern w:val="2"/>
          <w:sz w:val="30"/>
          <w:szCs w:val="30"/>
        </w:rPr>
        <w:t>申报人主要包括在川高校及科研院所</w:t>
      </w:r>
      <w:r>
        <w:rPr>
          <w:rFonts w:hint="eastAsia" w:ascii="Times New Roman" w:hAnsi="Times New Roman" w:eastAsia="仿宋_GB2312"/>
          <w:kern w:val="2"/>
          <w:sz w:val="30"/>
          <w:szCs w:val="30"/>
        </w:rPr>
        <w:t>在读全日制</w:t>
      </w:r>
      <w:r>
        <w:rPr>
          <w:rFonts w:ascii="Times New Roman" w:hAnsi="Times New Roman" w:eastAsia="仿宋_GB2312"/>
          <w:kern w:val="2"/>
          <w:sz w:val="30"/>
          <w:szCs w:val="30"/>
        </w:rPr>
        <w:t>研究生</w:t>
      </w:r>
      <w:r>
        <w:rPr>
          <w:rFonts w:hint="eastAsia" w:ascii="Times New Roman" w:hAnsi="Times New Roman" w:eastAsia="仿宋_GB2312"/>
          <w:kern w:val="2"/>
          <w:sz w:val="30"/>
          <w:szCs w:val="30"/>
        </w:rPr>
        <w:t>（需在附件中上传学院开具的在读证明），或全日制高校</w:t>
      </w:r>
      <w:r>
        <w:rPr>
          <w:rFonts w:ascii="Times New Roman" w:hAnsi="Times New Roman" w:eastAsia="仿宋_GB2312"/>
          <w:kern w:val="2"/>
          <w:sz w:val="30"/>
          <w:szCs w:val="30"/>
        </w:rPr>
        <w:t>毕业5年</w:t>
      </w:r>
      <w:r>
        <w:rPr>
          <w:rFonts w:hint="eastAsia" w:ascii="Times New Roman" w:hAnsi="Times New Roman" w:eastAsia="仿宋_GB2312"/>
          <w:kern w:val="2"/>
          <w:sz w:val="30"/>
          <w:szCs w:val="30"/>
        </w:rPr>
        <w:t>以内（2017年5月31日及以后毕业）的</w:t>
      </w:r>
      <w:r>
        <w:rPr>
          <w:rFonts w:ascii="Times New Roman" w:hAnsi="Times New Roman" w:eastAsia="仿宋_GB2312"/>
          <w:kern w:val="2"/>
          <w:sz w:val="30"/>
          <w:szCs w:val="30"/>
        </w:rPr>
        <w:t>在川工作</w:t>
      </w:r>
      <w:r>
        <w:rPr>
          <w:rFonts w:hint="eastAsia" w:ascii="Times New Roman" w:hAnsi="Times New Roman" w:eastAsia="仿宋_GB2312"/>
          <w:kern w:val="2"/>
          <w:sz w:val="30"/>
          <w:szCs w:val="30"/>
        </w:rPr>
        <w:t>科技人员〔需在附件中上传学历（学位）证〕</w:t>
      </w:r>
      <w:r>
        <w:rPr>
          <w:rFonts w:ascii="Times New Roman" w:hAnsi="Times New Roman" w:eastAsia="仿宋_GB2312"/>
          <w:kern w:val="2"/>
          <w:sz w:val="30"/>
          <w:szCs w:val="30"/>
        </w:rPr>
        <w:t>。</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b/>
          <w:kern w:val="2"/>
          <w:sz w:val="30"/>
          <w:szCs w:val="30"/>
        </w:rPr>
      </w:pPr>
      <w:r>
        <w:rPr>
          <w:rFonts w:ascii="Times New Roman" w:hAnsi="Times New Roman" w:eastAsia="仿宋_GB2312"/>
          <w:b/>
          <w:kern w:val="2"/>
          <w:sz w:val="30"/>
          <w:szCs w:val="30"/>
        </w:rPr>
        <w:t>2.培育项目。</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重点支持处于萌芽期、</w:t>
      </w:r>
      <w:r>
        <w:rPr>
          <w:rFonts w:hint="eastAsia" w:ascii="Times New Roman" w:hAnsi="Times New Roman" w:eastAsia="仿宋_GB2312"/>
          <w:kern w:val="2"/>
          <w:sz w:val="30"/>
          <w:szCs w:val="30"/>
        </w:rPr>
        <w:t>与经济及产业发展结合紧密、</w:t>
      </w:r>
      <w:r>
        <w:rPr>
          <w:rFonts w:ascii="Times New Roman" w:hAnsi="Times New Roman" w:eastAsia="仿宋_GB2312"/>
          <w:kern w:val="2"/>
          <w:sz w:val="30"/>
          <w:szCs w:val="30"/>
        </w:rPr>
        <w:t>有一定</w:t>
      </w:r>
      <w:r>
        <w:rPr>
          <w:rFonts w:hint="eastAsia" w:ascii="Times New Roman" w:hAnsi="Times New Roman" w:eastAsia="仿宋_GB2312"/>
          <w:kern w:val="2"/>
          <w:sz w:val="30"/>
          <w:szCs w:val="30"/>
        </w:rPr>
        <w:t>发展</w:t>
      </w:r>
      <w:r>
        <w:rPr>
          <w:rFonts w:ascii="Times New Roman" w:hAnsi="Times New Roman" w:eastAsia="仿宋_GB2312"/>
          <w:kern w:val="2"/>
          <w:sz w:val="30"/>
          <w:szCs w:val="30"/>
        </w:rPr>
        <w:t>前景的科技创新创业苗子培育项目</w:t>
      </w:r>
      <w:r>
        <w:rPr>
          <w:rFonts w:hint="eastAsia" w:ascii="Times New Roman" w:hAnsi="Times New Roman" w:eastAsia="仿宋_GB2312"/>
          <w:kern w:val="2"/>
          <w:sz w:val="30"/>
          <w:szCs w:val="30"/>
        </w:rPr>
        <w:t>，并符合以下条件：</w:t>
      </w:r>
    </w:p>
    <w:p>
      <w:pPr>
        <w:keepNext w:val="0"/>
        <w:keepLines w:val="0"/>
        <w:pageBreakBefore w:val="0"/>
        <w:widowControl w:val="0"/>
        <w:kinsoku/>
        <w:wordWrap/>
        <w:overflowPunct/>
        <w:topLinePunct w:val="0"/>
        <w:autoSpaceDE/>
        <w:autoSpaceDN/>
        <w:bidi w:val="0"/>
        <w:adjustRightInd/>
        <w:snapToGrid/>
        <w:spacing w:after="0" w:line="360" w:lineRule="exact"/>
        <w:ind w:firstLine="600" w:firstLineChars="200"/>
        <w:jc w:val="both"/>
        <w:textAlignment w:val="auto"/>
        <w:rPr>
          <w:rFonts w:hint="eastAsia" w:ascii="Times New Roman" w:hAnsi="Times New Roman" w:eastAsia="仿宋_GB2312"/>
          <w:kern w:val="2"/>
          <w:sz w:val="30"/>
          <w:szCs w:val="30"/>
        </w:rPr>
      </w:pPr>
      <w:r>
        <w:rPr>
          <w:rFonts w:hint="eastAsia" w:ascii="Times New Roman" w:hAnsi="Times New Roman" w:eastAsia="仿宋_GB2312"/>
          <w:kern w:val="2"/>
          <w:sz w:val="30"/>
          <w:szCs w:val="30"/>
        </w:rPr>
        <w:t>（1）申报人年龄在1990年1月1日及以后出生（女性科技人才申报年龄可放宽2岁）。</w:t>
      </w:r>
    </w:p>
    <w:p>
      <w:pPr>
        <w:keepNext w:val="0"/>
        <w:keepLines w:val="0"/>
        <w:pageBreakBefore w:val="0"/>
        <w:widowControl w:val="0"/>
        <w:kinsoku/>
        <w:wordWrap/>
        <w:overflowPunct/>
        <w:topLinePunct w:val="0"/>
        <w:autoSpaceDE/>
        <w:autoSpaceDN/>
        <w:bidi w:val="0"/>
        <w:adjustRightInd/>
        <w:snapToGrid/>
        <w:spacing w:after="0" w:line="360" w:lineRule="exact"/>
        <w:ind w:firstLine="600" w:firstLineChars="200"/>
        <w:jc w:val="both"/>
        <w:textAlignment w:val="auto"/>
        <w:rPr>
          <w:rFonts w:ascii="Times New Roman" w:hAnsi="Times New Roman" w:eastAsia="仿宋_GB2312"/>
          <w:strike/>
          <w:kern w:val="2"/>
          <w:sz w:val="30"/>
          <w:szCs w:val="30"/>
        </w:rPr>
      </w:pPr>
      <w:r>
        <w:rPr>
          <w:rFonts w:hint="eastAsia" w:ascii="Times New Roman" w:hAnsi="Times New Roman" w:eastAsia="仿宋_GB2312"/>
          <w:kern w:val="2"/>
          <w:sz w:val="30"/>
          <w:szCs w:val="30"/>
        </w:rPr>
        <w:t>（2）</w:t>
      </w:r>
      <w:r>
        <w:rPr>
          <w:rFonts w:ascii="Times New Roman" w:hAnsi="Times New Roman" w:eastAsia="仿宋_GB2312"/>
          <w:kern w:val="2"/>
          <w:sz w:val="30"/>
          <w:szCs w:val="30"/>
        </w:rPr>
        <w:t>申报人主要包括在川高校在读大学生</w:t>
      </w:r>
      <w:r>
        <w:rPr>
          <w:rFonts w:hint="eastAsia" w:ascii="Times New Roman" w:hAnsi="Times New Roman" w:eastAsia="仿宋_GB2312"/>
          <w:kern w:val="2"/>
          <w:sz w:val="30"/>
          <w:szCs w:val="30"/>
        </w:rPr>
        <w:t>和</w:t>
      </w:r>
      <w:r>
        <w:rPr>
          <w:rFonts w:ascii="Times New Roman" w:hAnsi="Times New Roman" w:eastAsia="仿宋_GB2312"/>
          <w:kern w:val="2"/>
          <w:sz w:val="30"/>
          <w:szCs w:val="30"/>
        </w:rPr>
        <w:t>在川高校及科研院所研究生</w:t>
      </w:r>
      <w:r>
        <w:rPr>
          <w:rFonts w:hint="eastAsia" w:ascii="Times New Roman" w:hAnsi="Times New Roman" w:eastAsia="仿宋_GB2312"/>
          <w:kern w:val="2"/>
          <w:sz w:val="30"/>
          <w:szCs w:val="30"/>
        </w:rPr>
        <w:t>（需在附件中上传学院开具的在读证明），或</w:t>
      </w:r>
      <w:r>
        <w:rPr>
          <w:rFonts w:ascii="Times New Roman" w:hAnsi="Times New Roman" w:eastAsia="仿宋_GB2312"/>
          <w:kern w:val="2"/>
          <w:sz w:val="30"/>
          <w:szCs w:val="30"/>
        </w:rPr>
        <w:t>毕业4年以内</w:t>
      </w:r>
      <w:r>
        <w:rPr>
          <w:rFonts w:hint="eastAsia" w:ascii="Times New Roman" w:hAnsi="Times New Roman" w:eastAsia="仿宋_GB2312"/>
          <w:kern w:val="2"/>
          <w:sz w:val="30"/>
          <w:szCs w:val="30"/>
        </w:rPr>
        <w:t>（2018年5月31日及以后毕业）</w:t>
      </w:r>
      <w:r>
        <w:rPr>
          <w:rFonts w:ascii="Times New Roman" w:hAnsi="Times New Roman" w:eastAsia="仿宋_GB2312"/>
          <w:kern w:val="2"/>
          <w:sz w:val="30"/>
          <w:szCs w:val="30"/>
        </w:rPr>
        <w:t>在川工作的高校毕业生</w:t>
      </w:r>
      <w:r>
        <w:rPr>
          <w:rFonts w:hint="eastAsia" w:ascii="Times New Roman" w:hAnsi="Times New Roman" w:eastAsia="仿宋_GB2312"/>
          <w:kern w:val="2"/>
          <w:sz w:val="30"/>
          <w:szCs w:val="30"/>
        </w:rPr>
        <w:t>〔需在附件中上传学历（学位）证〕。</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宋体"/>
          <w:kern w:val="2"/>
          <w:sz w:val="30"/>
          <w:szCs w:val="30"/>
        </w:rPr>
      </w:pPr>
      <w:r>
        <w:rPr>
          <w:rFonts w:hint="eastAsia" w:ascii="Times New Roman" w:hAnsi="Times New Roman" w:eastAsia="黑体"/>
          <w:kern w:val="2"/>
          <w:sz w:val="30"/>
          <w:szCs w:val="30"/>
          <w:lang w:eastAsia="zh-CN"/>
        </w:rPr>
        <w:t>——</w:t>
      </w:r>
      <w:r>
        <w:rPr>
          <w:rFonts w:ascii="Times New Roman" w:hAnsi="Times New Roman" w:eastAsia="黑体"/>
          <w:kern w:val="2"/>
          <w:sz w:val="30"/>
          <w:szCs w:val="30"/>
        </w:rPr>
        <w:t>实施周期</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项目实施周期为1—</w:t>
      </w:r>
      <w:r>
        <w:rPr>
          <w:rFonts w:hint="eastAsia" w:ascii="Times New Roman" w:hAnsi="Times New Roman" w:eastAsia="仿宋_GB2312"/>
          <w:kern w:val="2"/>
          <w:sz w:val="30"/>
          <w:szCs w:val="30"/>
        </w:rPr>
        <w:t>3</w:t>
      </w:r>
      <w:r>
        <w:rPr>
          <w:rFonts w:ascii="Times New Roman" w:hAnsi="Times New Roman" w:eastAsia="仿宋_GB2312"/>
          <w:kern w:val="2"/>
          <w:sz w:val="30"/>
          <w:szCs w:val="30"/>
        </w:rPr>
        <w:t>年，项目执行期从202</w:t>
      </w:r>
      <w:r>
        <w:rPr>
          <w:rFonts w:hint="eastAsia" w:ascii="Times New Roman" w:hAnsi="Times New Roman" w:eastAsia="仿宋_GB2312"/>
          <w:kern w:val="2"/>
          <w:sz w:val="30"/>
          <w:szCs w:val="30"/>
        </w:rPr>
        <w:t>3</w:t>
      </w:r>
      <w:r>
        <w:rPr>
          <w:rFonts w:ascii="Times New Roman" w:hAnsi="Times New Roman" w:eastAsia="仿宋_GB2312"/>
          <w:kern w:val="2"/>
          <w:sz w:val="30"/>
          <w:szCs w:val="30"/>
        </w:rPr>
        <w:t>年</w:t>
      </w:r>
      <w:r>
        <w:rPr>
          <w:rFonts w:hint="eastAsia" w:ascii="Times New Roman" w:hAnsi="Times New Roman" w:eastAsia="仿宋_GB2312"/>
          <w:kern w:val="2"/>
          <w:sz w:val="30"/>
          <w:szCs w:val="30"/>
        </w:rPr>
        <w:t>1</w:t>
      </w:r>
      <w:r>
        <w:rPr>
          <w:rFonts w:ascii="Times New Roman" w:hAnsi="Times New Roman" w:eastAsia="仿宋_GB2312"/>
          <w:kern w:val="2"/>
          <w:sz w:val="30"/>
          <w:szCs w:val="30"/>
        </w:rPr>
        <w:t>月起算。</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宋体"/>
          <w:kern w:val="2"/>
          <w:sz w:val="30"/>
          <w:szCs w:val="30"/>
        </w:rPr>
      </w:pPr>
      <w:r>
        <w:rPr>
          <w:rFonts w:hint="default" w:ascii="Times New Roman" w:hAnsi="Times New Roman" w:eastAsia="黑体" w:cs="Times New Roman"/>
          <w:color w:val="auto"/>
          <w:sz w:val="30"/>
          <w:szCs w:val="30"/>
          <w:lang w:eastAsia="zh-CN"/>
        </w:rPr>
        <w:t>——</w:t>
      </w:r>
      <w:r>
        <w:rPr>
          <w:rFonts w:hint="eastAsia" w:ascii="Times New Roman" w:hAnsi="Times New Roman" w:eastAsia="黑体"/>
          <w:kern w:val="2"/>
          <w:sz w:val="30"/>
          <w:szCs w:val="30"/>
        </w:rPr>
        <w:t>支持方向和重点（含考核指标）</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hint="eastAsia" w:ascii="楷体" w:hAnsi="楷体" w:eastAsia="楷体"/>
          <w:color w:val="000000"/>
          <w:kern w:val="2"/>
          <w:sz w:val="30"/>
          <w:szCs w:val="30"/>
        </w:rPr>
      </w:pPr>
      <w:r>
        <w:rPr>
          <w:rFonts w:hint="eastAsia" w:ascii="楷体" w:hAnsi="楷体" w:eastAsia="楷体"/>
          <w:color w:val="000000"/>
          <w:kern w:val="2"/>
          <w:sz w:val="30"/>
          <w:szCs w:val="30"/>
        </w:rPr>
        <w:t>（一）重点方向和领域</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1.“5+1”现代</w:t>
      </w:r>
      <w:r>
        <w:rPr>
          <w:rFonts w:hint="eastAsia" w:ascii="Times New Roman" w:hAnsi="Times New Roman" w:eastAsia="仿宋_GB2312"/>
          <w:kern w:val="2"/>
          <w:sz w:val="30"/>
          <w:szCs w:val="30"/>
        </w:rPr>
        <w:t>工业</w:t>
      </w:r>
      <w:r>
        <w:rPr>
          <w:rFonts w:ascii="Times New Roman" w:hAnsi="Times New Roman" w:eastAsia="仿宋_GB2312"/>
          <w:kern w:val="2"/>
          <w:sz w:val="30"/>
          <w:szCs w:val="30"/>
        </w:rPr>
        <w:t>体系重点领域。</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开展集成电路与新型显示、新一代网络技术、大数据、软件与信息服务、航空与燃机、智能装备、轨道交通、新能源与智能汽车、农产品精深加工、医药健康、新材料、清洁能源、绿色化工、节能环保、新一代人工智能的</w:t>
      </w:r>
      <w:r>
        <w:rPr>
          <w:rFonts w:hint="eastAsia" w:ascii="Times New Roman" w:hAnsi="Times New Roman" w:eastAsia="仿宋_GB2312"/>
          <w:kern w:val="2"/>
          <w:sz w:val="30"/>
          <w:szCs w:val="30"/>
        </w:rPr>
        <w:t>研究</w:t>
      </w:r>
      <w:r>
        <w:rPr>
          <w:rFonts w:ascii="Times New Roman" w:hAnsi="Times New Roman" w:eastAsia="仿宋_GB2312"/>
          <w:kern w:val="2"/>
          <w:sz w:val="30"/>
          <w:szCs w:val="30"/>
        </w:rPr>
        <w:t>项目。</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2.“4+6”现代服务业体系重点领域。</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开展商业贸易、现代物流、金融服务、文体旅游4大支柱型服务业，科技信息服务、商务会展服务、人力资源</w:t>
      </w:r>
      <w:r>
        <w:rPr>
          <w:rFonts w:ascii="Times New Roman" w:hAnsi="Times New Roman" w:eastAsia="仿宋_GB2312"/>
          <w:color w:val="000000"/>
          <w:kern w:val="2"/>
          <w:sz w:val="30"/>
          <w:szCs w:val="30"/>
        </w:rPr>
        <w:t>服务、医疗康养服务、家庭社区服务</w:t>
      </w:r>
      <w:r>
        <w:rPr>
          <w:rFonts w:hint="eastAsia" w:ascii="Times New Roman" w:hAnsi="Times New Roman" w:eastAsia="仿宋_GB2312"/>
          <w:color w:val="000000"/>
          <w:kern w:val="2"/>
          <w:sz w:val="30"/>
          <w:szCs w:val="30"/>
        </w:rPr>
        <w:t>、川派餐饮服务</w:t>
      </w:r>
      <w:r>
        <w:rPr>
          <w:rFonts w:ascii="Times New Roman" w:hAnsi="Times New Roman" w:eastAsia="仿宋_GB2312"/>
          <w:kern w:val="2"/>
          <w:sz w:val="30"/>
          <w:szCs w:val="30"/>
        </w:rPr>
        <w:t>的</w:t>
      </w:r>
      <w:r>
        <w:rPr>
          <w:rFonts w:hint="eastAsia" w:ascii="Times New Roman" w:hAnsi="Times New Roman" w:eastAsia="仿宋_GB2312"/>
          <w:kern w:val="2"/>
          <w:sz w:val="30"/>
          <w:szCs w:val="30"/>
        </w:rPr>
        <w:t>研究</w:t>
      </w:r>
      <w:r>
        <w:rPr>
          <w:rFonts w:ascii="Times New Roman" w:hAnsi="Times New Roman" w:eastAsia="仿宋_GB2312"/>
          <w:kern w:val="2"/>
          <w:sz w:val="30"/>
          <w:szCs w:val="30"/>
        </w:rPr>
        <w:t>项目。</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3.“10+3”农业产业体系重点领域。</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开展围绕川粮油、川猪、川茶、川菜（椒）、川酒、川竹、川果（桑）、川药、川牛羊（饲草畜禽）、川鱼等10大优势特色产业和现代农业种业、现代农业装备、现代农业冷链物流3大先导性支撑产业的</w:t>
      </w:r>
      <w:r>
        <w:rPr>
          <w:rFonts w:hint="eastAsia" w:ascii="Times New Roman" w:hAnsi="Times New Roman" w:eastAsia="仿宋_GB2312"/>
          <w:kern w:val="2"/>
          <w:sz w:val="30"/>
          <w:szCs w:val="30"/>
        </w:rPr>
        <w:t>研究</w:t>
      </w:r>
      <w:r>
        <w:rPr>
          <w:rFonts w:ascii="Times New Roman" w:hAnsi="Times New Roman" w:eastAsia="仿宋_GB2312"/>
          <w:kern w:val="2"/>
          <w:sz w:val="30"/>
          <w:szCs w:val="30"/>
        </w:rPr>
        <w:t>项目。</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hint="eastAsia" w:ascii="楷体" w:hAnsi="楷体" w:eastAsia="楷体"/>
          <w:color w:val="000000"/>
          <w:kern w:val="2"/>
          <w:sz w:val="30"/>
          <w:szCs w:val="30"/>
        </w:rPr>
      </w:pPr>
      <w:r>
        <w:rPr>
          <w:rFonts w:hint="eastAsia" w:ascii="楷体" w:hAnsi="楷体" w:eastAsia="楷体"/>
          <w:color w:val="000000"/>
          <w:kern w:val="2"/>
          <w:sz w:val="30"/>
          <w:szCs w:val="30"/>
        </w:rPr>
        <w:t>（二）考核指标</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单项科技创新人才、科技创业人才、科技创新创业苗子工程项目须完成以下</w:t>
      </w:r>
      <w:r>
        <w:rPr>
          <w:rFonts w:hint="eastAsia" w:ascii="Times New Roman" w:hAnsi="Times New Roman" w:eastAsia="仿宋_GB2312"/>
          <w:kern w:val="2"/>
          <w:sz w:val="30"/>
          <w:szCs w:val="30"/>
        </w:rPr>
        <w:t>基本</w:t>
      </w:r>
      <w:r>
        <w:rPr>
          <w:rFonts w:ascii="Times New Roman" w:hAnsi="Times New Roman" w:eastAsia="仿宋_GB2312"/>
          <w:kern w:val="2"/>
          <w:sz w:val="30"/>
          <w:szCs w:val="30"/>
        </w:rPr>
        <w:t>绩效目标，且申报人在项目</w:t>
      </w:r>
      <w:r>
        <w:rPr>
          <w:rFonts w:hint="eastAsia" w:ascii="Times New Roman" w:hAnsi="Times New Roman" w:eastAsia="仿宋_GB2312"/>
          <w:kern w:val="2"/>
          <w:sz w:val="30"/>
          <w:szCs w:val="30"/>
        </w:rPr>
        <w:t>执行</w:t>
      </w:r>
      <w:r>
        <w:rPr>
          <w:rFonts w:ascii="Times New Roman" w:hAnsi="Times New Roman" w:eastAsia="仿宋_GB2312"/>
          <w:kern w:val="2"/>
          <w:sz w:val="30"/>
          <w:szCs w:val="30"/>
        </w:rPr>
        <w:t>期内须每年全职在川工作6个月以上。</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1.科技创新人才</w:t>
      </w:r>
      <w:r>
        <w:rPr>
          <w:rFonts w:hint="eastAsia" w:ascii="Times New Roman" w:hAnsi="Times New Roman" w:eastAsia="仿宋_GB2312"/>
          <w:kern w:val="2"/>
          <w:sz w:val="30"/>
          <w:szCs w:val="30"/>
        </w:rPr>
        <w:t>项目</w:t>
      </w:r>
      <w:r>
        <w:rPr>
          <w:rFonts w:ascii="Times New Roman" w:hAnsi="Times New Roman" w:eastAsia="仿宋_GB2312"/>
          <w:kern w:val="2"/>
          <w:sz w:val="30"/>
          <w:szCs w:val="30"/>
        </w:rPr>
        <w:t>。研发新产品（或农业新品种）、新材料、新技术、新工艺、新装置1项（或申请1项发明专利、或获1项实用新型专利授权、或制定1项国家/行业/地方/企业技术标准）；以第一作者或通讯作者发表</w:t>
      </w:r>
      <w:r>
        <w:rPr>
          <w:rFonts w:hint="eastAsia" w:ascii="Times New Roman" w:hAnsi="Times New Roman" w:eastAsia="仿宋_GB2312"/>
          <w:kern w:val="2"/>
          <w:sz w:val="30"/>
          <w:szCs w:val="30"/>
        </w:rPr>
        <w:t>领域、</w:t>
      </w:r>
      <w:r>
        <w:rPr>
          <w:rFonts w:ascii="Times New Roman" w:hAnsi="Times New Roman" w:eastAsia="仿宋_GB2312"/>
          <w:kern w:val="2"/>
          <w:sz w:val="30"/>
          <w:szCs w:val="30"/>
        </w:rPr>
        <w:t>行业高水平论文1篇。</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2.科技创业人才</w:t>
      </w:r>
      <w:r>
        <w:rPr>
          <w:rFonts w:hint="eastAsia" w:ascii="Times New Roman" w:hAnsi="Times New Roman" w:eastAsia="仿宋_GB2312"/>
          <w:kern w:val="2"/>
          <w:sz w:val="30"/>
          <w:szCs w:val="30"/>
        </w:rPr>
        <w:t>项目</w:t>
      </w:r>
      <w:r>
        <w:rPr>
          <w:rFonts w:ascii="Times New Roman" w:hAnsi="Times New Roman" w:eastAsia="仿宋_GB2312"/>
          <w:kern w:val="2"/>
          <w:sz w:val="30"/>
          <w:szCs w:val="30"/>
        </w:rPr>
        <w:t>。开展技术成果转移转化，</w:t>
      </w:r>
      <w:r>
        <w:rPr>
          <w:rFonts w:hint="eastAsia" w:ascii="Times New Roman" w:hAnsi="Times New Roman" w:eastAsia="仿宋_GB2312"/>
          <w:kern w:val="2"/>
          <w:sz w:val="30"/>
          <w:szCs w:val="30"/>
        </w:rPr>
        <w:t>创办5年以内（2017年1月1日及以后注册）的企业</w:t>
      </w:r>
      <w:r>
        <w:rPr>
          <w:rFonts w:ascii="Times New Roman" w:hAnsi="Times New Roman" w:eastAsia="仿宋_GB2312"/>
          <w:kern w:val="2"/>
          <w:sz w:val="30"/>
          <w:szCs w:val="30"/>
        </w:rPr>
        <w:t>项目</w:t>
      </w:r>
      <w:r>
        <w:rPr>
          <w:rFonts w:hint="eastAsia" w:ascii="Times New Roman" w:hAnsi="Times New Roman" w:eastAsia="仿宋_GB2312"/>
          <w:kern w:val="2"/>
          <w:sz w:val="30"/>
          <w:szCs w:val="30"/>
        </w:rPr>
        <w:t>执行</w:t>
      </w:r>
      <w:r>
        <w:rPr>
          <w:rFonts w:ascii="Times New Roman" w:hAnsi="Times New Roman" w:eastAsia="仿宋_GB2312"/>
          <w:kern w:val="2"/>
          <w:sz w:val="30"/>
          <w:szCs w:val="30"/>
        </w:rPr>
        <w:t>期内实现营业收入达300万元人民币以上或利润达</w:t>
      </w:r>
      <w:r>
        <w:rPr>
          <w:rFonts w:hint="eastAsia" w:ascii="Times New Roman" w:hAnsi="Times New Roman" w:eastAsia="仿宋_GB2312"/>
          <w:kern w:val="2"/>
          <w:sz w:val="30"/>
          <w:szCs w:val="30"/>
        </w:rPr>
        <w:t>30</w:t>
      </w:r>
      <w:r>
        <w:rPr>
          <w:rFonts w:ascii="Times New Roman" w:hAnsi="Times New Roman" w:eastAsia="仿宋_GB2312"/>
          <w:kern w:val="2"/>
          <w:sz w:val="30"/>
          <w:szCs w:val="30"/>
        </w:rPr>
        <w:t>万人民币以上</w:t>
      </w:r>
      <w:r>
        <w:rPr>
          <w:rFonts w:hint="eastAsia" w:ascii="Times New Roman" w:hAnsi="Times New Roman" w:eastAsia="仿宋_GB2312"/>
          <w:kern w:val="2"/>
          <w:sz w:val="30"/>
          <w:szCs w:val="30"/>
        </w:rPr>
        <w:t>，创办5年以上（2016年12月31日及以前注册）的企业</w:t>
      </w:r>
      <w:r>
        <w:rPr>
          <w:rFonts w:ascii="Times New Roman" w:hAnsi="Times New Roman" w:eastAsia="仿宋_GB2312"/>
          <w:kern w:val="2"/>
          <w:sz w:val="30"/>
          <w:szCs w:val="30"/>
        </w:rPr>
        <w:t>项目</w:t>
      </w:r>
      <w:r>
        <w:rPr>
          <w:rFonts w:hint="eastAsia" w:ascii="Times New Roman" w:hAnsi="Times New Roman" w:eastAsia="仿宋_GB2312"/>
          <w:kern w:val="2"/>
          <w:sz w:val="30"/>
          <w:szCs w:val="30"/>
        </w:rPr>
        <w:t>执行</w:t>
      </w:r>
      <w:r>
        <w:rPr>
          <w:rFonts w:ascii="Times New Roman" w:hAnsi="Times New Roman" w:eastAsia="仿宋_GB2312"/>
          <w:kern w:val="2"/>
          <w:sz w:val="30"/>
          <w:szCs w:val="30"/>
        </w:rPr>
        <w:t>期内实现营业收入达</w:t>
      </w:r>
      <w:r>
        <w:rPr>
          <w:rFonts w:hint="eastAsia" w:ascii="Times New Roman" w:hAnsi="Times New Roman" w:eastAsia="仿宋_GB2312"/>
          <w:kern w:val="2"/>
          <w:sz w:val="30"/>
          <w:szCs w:val="30"/>
        </w:rPr>
        <w:t>1000</w:t>
      </w:r>
      <w:r>
        <w:rPr>
          <w:rFonts w:ascii="Times New Roman" w:hAnsi="Times New Roman" w:eastAsia="仿宋_GB2312"/>
          <w:kern w:val="2"/>
          <w:sz w:val="30"/>
          <w:szCs w:val="30"/>
        </w:rPr>
        <w:t>万元人民币以上或利润达</w:t>
      </w:r>
      <w:r>
        <w:rPr>
          <w:rFonts w:hint="eastAsia" w:ascii="Times New Roman" w:hAnsi="Times New Roman" w:eastAsia="仿宋_GB2312"/>
          <w:kern w:val="2"/>
          <w:sz w:val="30"/>
          <w:szCs w:val="30"/>
        </w:rPr>
        <w:t>300</w:t>
      </w:r>
      <w:r>
        <w:rPr>
          <w:rFonts w:ascii="Times New Roman" w:hAnsi="Times New Roman" w:eastAsia="仿宋_GB2312"/>
          <w:kern w:val="2"/>
          <w:sz w:val="30"/>
          <w:szCs w:val="30"/>
        </w:rPr>
        <w:t>万人民币以上；研发新产品（或农业新品种）、新材料、新技术、新工艺、新装置1项（或申请1项发明专利、或获1项实用新型专利授权、或制定1项省级以上技术标准）。</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3.科技创新创业苗子工程</w:t>
      </w:r>
      <w:r>
        <w:rPr>
          <w:rFonts w:hint="eastAsia" w:ascii="Times New Roman" w:hAnsi="Times New Roman" w:eastAsia="仿宋_GB2312"/>
          <w:kern w:val="2"/>
          <w:sz w:val="30"/>
          <w:szCs w:val="30"/>
        </w:rPr>
        <w:t>项目</w:t>
      </w:r>
      <w:r>
        <w:rPr>
          <w:rFonts w:ascii="Times New Roman" w:hAnsi="Times New Roman" w:eastAsia="仿宋_GB2312"/>
          <w:kern w:val="2"/>
          <w:sz w:val="30"/>
          <w:szCs w:val="30"/>
        </w:rPr>
        <w:t>。完成</w:t>
      </w:r>
      <w:r>
        <w:rPr>
          <w:rFonts w:hint="eastAsia" w:ascii="Times New Roman" w:hAnsi="Times New Roman" w:eastAsia="仿宋_GB2312"/>
          <w:kern w:val="2"/>
          <w:sz w:val="30"/>
          <w:szCs w:val="30"/>
        </w:rPr>
        <w:t>技术方案（或产品、工艺技术设计）高质量研究报告1份，或撰写技术、工艺原理高水平论文1篇。</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kern w:val="2"/>
          <w:sz w:val="30"/>
          <w:szCs w:val="30"/>
        </w:rPr>
      </w:pPr>
      <w:r>
        <w:rPr>
          <w:rFonts w:ascii="Times New Roman" w:hAnsi="Times New Roman" w:eastAsia="仿宋_GB2312"/>
          <w:kern w:val="2"/>
          <w:sz w:val="30"/>
          <w:szCs w:val="30"/>
        </w:rPr>
        <w:t>项目负责人如在项目</w:t>
      </w:r>
      <w:r>
        <w:rPr>
          <w:rFonts w:hint="eastAsia" w:ascii="Times New Roman" w:hAnsi="Times New Roman" w:eastAsia="仿宋_GB2312"/>
          <w:kern w:val="2"/>
          <w:sz w:val="30"/>
          <w:szCs w:val="30"/>
        </w:rPr>
        <w:t>执行</w:t>
      </w:r>
      <w:r>
        <w:rPr>
          <w:rFonts w:ascii="Times New Roman" w:hAnsi="Times New Roman" w:eastAsia="仿宋_GB2312"/>
          <w:kern w:val="2"/>
          <w:sz w:val="30"/>
          <w:szCs w:val="30"/>
        </w:rPr>
        <w:t>期内入选</w:t>
      </w:r>
      <w:r>
        <w:rPr>
          <w:rFonts w:hint="eastAsia" w:ascii="Times New Roman" w:hAnsi="Times New Roman" w:eastAsia="仿宋_GB2312"/>
          <w:kern w:val="2"/>
          <w:sz w:val="30"/>
          <w:szCs w:val="30"/>
        </w:rPr>
        <w:t>国家海外高层次人才引进计划、</w:t>
      </w:r>
      <w:r>
        <w:rPr>
          <w:rFonts w:ascii="Times New Roman" w:hAnsi="Times New Roman" w:eastAsia="仿宋_GB2312"/>
          <w:kern w:val="2"/>
          <w:sz w:val="30"/>
          <w:szCs w:val="30"/>
        </w:rPr>
        <w:t>国家</w:t>
      </w:r>
      <w:r>
        <w:rPr>
          <w:rFonts w:hint="eastAsia" w:ascii="Times New Roman" w:hAnsi="Times New Roman" w:eastAsia="仿宋_GB2312"/>
          <w:kern w:val="2"/>
          <w:sz w:val="30"/>
          <w:szCs w:val="30"/>
        </w:rPr>
        <w:t>高层次人才特殊支持计划</w:t>
      </w:r>
      <w:r>
        <w:rPr>
          <w:rFonts w:ascii="Times New Roman" w:hAnsi="Times New Roman" w:eastAsia="仿宋_GB2312"/>
          <w:kern w:val="2"/>
          <w:sz w:val="30"/>
          <w:szCs w:val="30"/>
        </w:rPr>
        <w:t>、</w:t>
      </w:r>
      <w:r>
        <w:rPr>
          <w:rFonts w:hint="eastAsia" w:ascii="Times New Roman" w:hAnsi="Times New Roman" w:eastAsia="仿宋_GB2312"/>
          <w:color w:val="000000"/>
          <w:kern w:val="2"/>
          <w:sz w:val="30"/>
          <w:szCs w:val="30"/>
        </w:rPr>
        <w:t>天府峨眉计划</w:t>
      </w:r>
      <w:r>
        <w:rPr>
          <w:rFonts w:hint="eastAsia" w:ascii="Times New Roman" w:hAnsi="Times New Roman" w:eastAsia="仿宋_GB2312"/>
          <w:kern w:val="2"/>
          <w:sz w:val="30"/>
          <w:szCs w:val="30"/>
        </w:rPr>
        <w:t>、天府青城</w:t>
      </w:r>
      <w:r>
        <w:rPr>
          <w:rFonts w:ascii="Times New Roman" w:hAnsi="Times New Roman" w:eastAsia="仿宋_GB2312"/>
          <w:kern w:val="2"/>
          <w:sz w:val="30"/>
          <w:szCs w:val="30"/>
        </w:rPr>
        <w:t>计划、四川省学术和技术带头人，或获科学技术奖〔国家科学技术奖或四川省科学技术进步二等奖以上</w:t>
      </w:r>
      <w:r>
        <w:rPr>
          <w:rFonts w:hint="eastAsia" w:ascii="Times New Roman" w:hAnsi="Times New Roman" w:eastAsia="仿宋_GB2312"/>
          <w:kern w:val="2"/>
          <w:sz w:val="30"/>
          <w:szCs w:val="30"/>
        </w:rPr>
        <w:t>，</w:t>
      </w:r>
      <w:r>
        <w:rPr>
          <w:rFonts w:ascii="Times New Roman" w:hAnsi="Times New Roman" w:eastAsia="仿宋_GB2312"/>
          <w:kern w:val="2"/>
          <w:sz w:val="30"/>
          <w:szCs w:val="30"/>
        </w:rPr>
        <w:t>或作为主要完成人（排名前3）获四川省科学技术进步三等奖〕，该项目绩效考核为优秀，不受上述目标绩效条件限制。</w:t>
      </w:r>
    </w:p>
    <w:p>
      <w:pPr>
        <w:keepNext w:val="0"/>
        <w:keepLines w:val="0"/>
        <w:pageBreakBefore w:val="0"/>
        <w:widowControl w:val="0"/>
        <w:kinsoku/>
        <w:wordWrap/>
        <w:overflowPunct/>
        <w:topLinePunct w:val="0"/>
        <w:autoSpaceDE/>
        <w:autoSpaceDN/>
        <w:bidi w:val="0"/>
        <w:adjustRightInd/>
        <w:snapToGrid/>
        <w:spacing w:after="0" w:line="360" w:lineRule="exact"/>
        <w:ind w:firstLine="600" w:firstLineChars="200"/>
        <w:jc w:val="both"/>
        <w:textAlignment w:val="auto"/>
        <w:rPr>
          <w:rFonts w:hint="eastAsia" w:ascii="Times New Roman" w:hAnsi="Times New Roman" w:eastAsia="黑体"/>
          <w:kern w:val="2"/>
          <w:sz w:val="30"/>
          <w:szCs w:val="30"/>
        </w:rPr>
      </w:pPr>
      <w:r>
        <w:rPr>
          <w:rFonts w:hint="default" w:ascii="Times New Roman" w:hAnsi="Times New Roman" w:eastAsia="黑体" w:cs="Times New Roman"/>
          <w:color w:val="auto"/>
          <w:sz w:val="30"/>
          <w:szCs w:val="30"/>
          <w:lang w:eastAsia="zh-CN"/>
        </w:rPr>
        <w:t>——</w:t>
      </w:r>
      <w:r>
        <w:rPr>
          <w:rFonts w:hint="eastAsia" w:ascii="Times New Roman" w:hAnsi="Times New Roman" w:eastAsia="黑体"/>
          <w:kern w:val="2"/>
          <w:sz w:val="30"/>
          <w:szCs w:val="30"/>
        </w:rPr>
        <w:t>支持原则</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宋体"/>
          <w:color w:val="000000"/>
          <w:kern w:val="2"/>
          <w:sz w:val="30"/>
          <w:szCs w:val="30"/>
        </w:rPr>
      </w:pPr>
      <w:r>
        <w:rPr>
          <w:rFonts w:ascii="Times New Roman" w:hAnsi="Times New Roman" w:eastAsia="仿宋_GB2312"/>
          <w:color w:val="000000"/>
          <w:kern w:val="2"/>
          <w:sz w:val="30"/>
          <w:szCs w:val="30"/>
        </w:rPr>
        <w:t>坚持</w:t>
      </w:r>
      <w:r>
        <w:rPr>
          <w:rFonts w:ascii="Times New Roman" w:hAnsi="Times New Roman" w:eastAsia="宋体"/>
          <w:color w:val="000000"/>
          <w:kern w:val="2"/>
          <w:sz w:val="30"/>
          <w:szCs w:val="30"/>
        </w:rPr>
        <w:t>“</w:t>
      </w:r>
      <w:r>
        <w:rPr>
          <w:rFonts w:ascii="Times New Roman" w:hAnsi="Times New Roman" w:eastAsia="仿宋_GB2312"/>
          <w:color w:val="000000"/>
          <w:kern w:val="2"/>
          <w:sz w:val="30"/>
          <w:szCs w:val="30"/>
        </w:rPr>
        <w:t>依靠专家，发扬民主，择优支持，公正合理</w:t>
      </w:r>
      <w:r>
        <w:rPr>
          <w:rFonts w:ascii="Times New Roman" w:hAnsi="Times New Roman" w:eastAsia="宋体"/>
          <w:color w:val="000000"/>
          <w:kern w:val="2"/>
          <w:sz w:val="30"/>
          <w:szCs w:val="30"/>
        </w:rPr>
        <w:t>”</w:t>
      </w:r>
      <w:r>
        <w:rPr>
          <w:rFonts w:ascii="Times New Roman" w:hAnsi="Times New Roman" w:eastAsia="仿宋_GB2312"/>
          <w:color w:val="000000"/>
          <w:kern w:val="2"/>
          <w:sz w:val="30"/>
          <w:szCs w:val="30"/>
        </w:rPr>
        <w:t>的原则，开展项目遴选。</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1.为推动高新区高质量发展，国家、省级高新区企业申报科技创新创业人才项目给予优先支持。</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2.对入选国家海外高层次人才引进计划、国家高层次人才特殊支持计划、天府峨眉计划、天府青城计划已出管理期的人才，</w:t>
      </w:r>
      <w:r>
        <w:rPr>
          <w:rFonts w:ascii="Times New Roman" w:hAnsi="Times New Roman" w:eastAsia="仿宋_GB2312"/>
          <w:color w:val="000000"/>
          <w:kern w:val="2"/>
          <w:sz w:val="30"/>
          <w:szCs w:val="30"/>
        </w:rPr>
        <w:t>或获科学技术奖〔国家科学技术奖或四川省科学技术</w:t>
      </w:r>
      <w:r>
        <w:rPr>
          <w:rFonts w:hint="eastAsia" w:ascii="Times New Roman" w:hAnsi="Times New Roman" w:eastAsia="仿宋_GB2312"/>
          <w:color w:val="000000"/>
          <w:kern w:val="2"/>
          <w:sz w:val="30"/>
          <w:szCs w:val="30"/>
        </w:rPr>
        <w:t>奖</w:t>
      </w:r>
      <w:r>
        <w:rPr>
          <w:rFonts w:ascii="Times New Roman" w:hAnsi="Times New Roman" w:eastAsia="仿宋_GB2312"/>
          <w:color w:val="000000"/>
          <w:kern w:val="2"/>
          <w:sz w:val="30"/>
          <w:szCs w:val="30"/>
        </w:rPr>
        <w:t>二等奖以上</w:t>
      </w:r>
      <w:r>
        <w:rPr>
          <w:rFonts w:hint="eastAsia" w:ascii="Times New Roman" w:hAnsi="Times New Roman" w:eastAsia="仿宋_GB2312"/>
          <w:color w:val="000000"/>
          <w:kern w:val="2"/>
          <w:sz w:val="30"/>
          <w:szCs w:val="30"/>
        </w:rPr>
        <w:t>，</w:t>
      </w:r>
      <w:r>
        <w:rPr>
          <w:rFonts w:ascii="Times New Roman" w:hAnsi="Times New Roman" w:eastAsia="仿宋_GB2312"/>
          <w:color w:val="000000"/>
          <w:kern w:val="2"/>
          <w:sz w:val="30"/>
          <w:szCs w:val="30"/>
        </w:rPr>
        <w:t>或作为主要完成人（排名前3）获四川省科学技术</w:t>
      </w:r>
      <w:r>
        <w:rPr>
          <w:rFonts w:hint="eastAsia" w:ascii="Times New Roman" w:hAnsi="Times New Roman" w:eastAsia="仿宋_GB2312"/>
          <w:color w:val="000000"/>
          <w:kern w:val="2"/>
          <w:sz w:val="30"/>
          <w:szCs w:val="30"/>
        </w:rPr>
        <w:t>奖</w:t>
      </w:r>
      <w:r>
        <w:rPr>
          <w:rFonts w:ascii="Times New Roman" w:hAnsi="Times New Roman" w:eastAsia="仿宋_GB2312"/>
          <w:color w:val="000000"/>
          <w:kern w:val="2"/>
          <w:sz w:val="30"/>
          <w:szCs w:val="30"/>
        </w:rPr>
        <w:t>三等奖〕的给予优先支持</w:t>
      </w:r>
      <w:r>
        <w:rPr>
          <w:rFonts w:hint="eastAsia" w:ascii="Times New Roman" w:hAnsi="Times New Roman" w:eastAsia="仿宋_GB2312"/>
          <w:color w:val="000000"/>
          <w:kern w:val="2"/>
          <w:sz w:val="30"/>
          <w:szCs w:val="30"/>
        </w:rPr>
        <w:t>。</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3.为贯彻落实</w:t>
      </w:r>
      <w:r>
        <w:rPr>
          <w:rFonts w:ascii="Times New Roman" w:hAnsi="Times New Roman" w:eastAsia="仿宋_GB2312"/>
          <w:color w:val="000000"/>
          <w:kern w:val="2"/>
          <w:sz w:val="30"/>
          <w:szCs w:val="30"/>
        </w:rPr>
        <w:t>成渝</w:t>
      </w:r>
      <w:r>
        <w:rPr>
          <w:rFonts w:hint="eastAsia" w:ascii="Times New Roman" w:hAnsi="Times New Roman" w:eastAsia="仿宋_GB2312"/>
          <w:color w:val="000000"/>
          <w:kern w:val="2"/>
          <w:sz w:val="30"/>
          <w:szCs w:val="30"/>
        </w:rPr>
        <w:t>地区</w:t>
      </w:r>
      <w:r>
        <w:rPr>
          <w:rFonts w:ascii="Times New Roman" w:hAnsi="Times New Roman" w:eastAsia="仿宋_GB2312"/>
          <w:color w:val="000000"/>
          <w:kern w:val="2"/>
          <w:sz w:val="30"/>
          <w:szCs w:val="30"/>
        </w:rPr>
        <w:t>双城经济圈建设</w:t>
      </w:r>
      <w:r>
        <w:rPr>
          <w:rFonts w:hint="eastAsia" w:ascii="Times New Roman" w:hAnsi="Times New Roman" w:eastAsia="仿宋_GB2312"/>
          <w:color w:val="000000"/>
          <w:kern w:val="2"/>
          <w:sz w:val="30"/>
          <w:szCs w:val="30"/>
        </w:rPr>
        <w:t>和</w:t>
      </w:r>
      <w:r>
        <w:rPr>
          <w:rFonts w:ascii="Times New Roman" w:hAnsi="Times New Roman" w:eastAsia="仿宋_GB2312"/>
          <w:color w:val="000000"/>
          <w:kern w:val="2"/>
          <w:sz w:val="30"/>
          <w:szCs w:val="30"/>
        </w:rPr>
        <w:t>“一干多支、五区协同”</w:t>
      </w:r>
      <w:r>
        <w:rPr>
          <w:rFonts w:hint="eastAsia" w:ascii="Times New Roman" w:hAnsi="Times New Roman" w:eastAsia="仿宋_GB2312"/>
          <w:color w:val="000000"/>
          <w:kern w:val="2"/>
          <w:sz w:val="30"/>
          <w:szCs w:val="30"/>
        </w:rPr>
        <w:t>“四向拓展、全域开放”战略部署，对申报相关科研项目的</w:t>
      </w:r>
      <w:r>
        <w:rPr>
          <w:rFonts w:ascii="Times New Roman" w:hAnsi="Times New Roman" w:eastAsia="仿宋_GB2312"/>
          <w:color w:val="000000"/>
          <w:kern w:val="2"/>
          <w:sz w:val="30"/>
          <w:szCs w:val="30"/>
        </w:rPr>
        <w:t>人才，同等条件下给予倾斜支持。</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4.</w:t>
      </w:r>
      <w:r>
        <w:rPr>
          <w:rFonts w:ascii="Times New Roman" w:hAnsi="Times New Roman" w:eastAsia="仿宋_GB2312"/>
          <w:color w:val="000000"/>
          <w:kern w:val="2"/>
          <w:sz w:val="30"/>
          <w:szCs w:val="30"/>
        </w:rPr>
        <w:t>按照区域协调、兼顾平衡、开放发展的原则，优先支持民族地区、偏远地区、基层一线</w:t>
      </w:r>
      <w:r>
        <w:rPr>
          <w:rFonts w:hint="eastAsia" w:ascii="Times New Roman" w:hAnsi="Times New Roman" w:eastAsia="仿宋_GB2312"/>
          <w:color w:val="000000"/>
          <w:kern w:val="2"/>
          <w:sz w:val="30"/>
          <w:szCs w:val="30"/>
        </w:rPr>
        <w:t>申报对象</w:t>
      </w:r>
      <w:r>
        <w:rPr>
          <w:rFonts w:ascii="Times New Roman" w:hAnsi="Times New Roman" w:eastAsia="仿宋_GB2312"/>
          <w:color w:val="000000"/>
          <w:kern w:val="2"/>
          <w:sz w:val="30"/>
          <w:szCs w:val="30"/>
        </w:rPr>
        <w:t>，优先支持在科技部等部委举办各类赛事中的获奖者，优先支持国际科技合作研究机构</w:t>
      </w:r>
      <w:r>
        <w:rPr>
          <w:rFonts w:hint="eastAsia" w:ascii="Times New Roman" w:hAnsi="Times New Roman" w:eastAsia="仿宋_GB2312"/>
          <w:color w:val="000000"/>
          <w:kern w:val="2"/>
          <w:sz w:val="30"/>
          <w:szCs w:val="30"/>
        </w:rPr>
        <w:t>申报对象</w:t>
      </w:r>
      <w:r>
        <w:rPr>
          <w:rFonts w:ascii="Times New Roman" w:hAnsi="Times New Roman" w:eastAsia="仿宋_GB2312"/>
          <w:color w:val="000000"/>
          <w:kern w:val="2"/>
          <w:sz w:val="30"/>
          <w:szCs w:val="30"/>
        </w:rPr>
        <w:t>。</w:t>
      </w:r>
    </w:p>
    <w:p>
      <w:pPr>
        <w:keepNext w:val="0"/>
        <w:keepLines w:val="0"/>
        <w:pageBreakBefore w:val="0"/>
        <w:widowControl w:val="0"/>
        <w:kinsoku/>
        <w:wordWrap/>
        <w:overflowPunct/>
        <w:topLinePunct w:val="0"/>
        <w:autoSpaceDE/>
        <w:autoSpaceDN/>
        <w:bidi w:val="0"/>
        <w:adjustRightInd/>
        <w:snapToGrid/>
        <w:spacing w:after="0" w:line="360" w:lineRule="exact"/>
        <w:ind w:firstLine="600" w:firstLineChars="200"/>
        <w:jc w:val="both"/>
        <w:textAlignment w:val="auto"/>
        <w:rPr>
          <w:rFonts w:hint="eastAsia" w:ascii="Times New Roman" w:hAnsi="Times New Roman" w:eastAsia="黑体"/>
          <w:color w:val="000000"/>
          <w:kern w:val="2"/>
          <w:sz w:val="30"/>
          <w:szCs w:val="30"/>
        </w:rPr>
      </w:pPr>
      <w:r>
        <w:rPr>
          <w:rFonts w:hint="default" w:ascii="Times New Roman" w:hAnsi="Times New Roman" w:eastAsia="黑体" w:cs="Times New Roman"/>
          <w:color w:val="auto"/>
          <w:sz w:val="30"/>
          <w:szCs w:val="30"/>
          <w:lang w:eastAsia="zh-CN"/>
        </w:rPr>
        <w:t>——</w:t>
      </w:r>
      <w:r>
        <w:rPr>
          <w:rFonts w:hint="eastAsia" w:ascii="Times New Roman" w:hAnsi="Times New Roman" w:eastAsia="黑体"/>
          <w:color w:val="000000"/>
          <w:kern w:val="2"/>
          <w:sz w:val="30"/>
          <w:szCs w:val="30"/>
        </w:rPr>
        <w:t>有关要求</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hint="eastAsia" w:ascii="楷体" w:hAnsi="楷体" w:eastAsia="楷体"/>
          <w:color w:val="000000"/>
          <w:kern w:val="2"/>
          <w:sz w:val="30"/>
          <w:szCs w:val="30"/>
        </w:rPr>
      </w:pPr>
      <w:r>
        <w:rPr>
          <w:rFonts w:ascii="楷体" w:hAnsi="楷体" w:eastAsia="楷体"/>
          <w:color w:val="000000"/>
          <w:kern w:val="2"/>
          <w:sz w:val="30"/>
          <w:szCs w:val="30"/>
        </w:rPr>
        <w:t>（</w:t>
      </w:r>
      <w:r>
        <w:rPr>
          <w:rFonts w:hint="eastAsia" w:ascii="楷体" w:hAnsi="楷体" w:eastAsia="楷体"/>
          <w:color w:val="000000"/>
          <w:kern w:val="2"/>
          <w:sz w:val="30"/>
          <w:szCs w:val="30"/>
        </w:rPr>
        <w:t>一</w:t>
      </w:r>
      <w:r>
        <w:rPr>
          <w:rFonts w:ascii="楷体" w:hAnsi="楷体" w:eastAsia="楷体"/>
          <w:color w:val="000000"/>
          <w:kern w:val="2"/>
          <w:sz w:val="30"/>
          <w:szCs w:val="30"/>
        </w:rPr>
        <w:t>）</w:t>
      </w:r>
      <w:r>
        <w:rPr>
          <w:rFonts w:hint="eastAsia" w:ascii="楷体" w:hAnsi="楷体" w:eastAsia="楷体"/>
          <w:color w:val="000000"/>
          <w:kern w:val="2"/>
          <w:sz w:val="30"/>
          <w:szCs w:val="30"/>
        </w:rPr>
        <w:t>同类项目不能重复申报。</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color w:val="000000"/>
          <w:kern w:val="2"/>
          <w:sz w:val="30"/>
          <w:szCs w:val="30"/>
        </w:rPr>
      </w:pPr>
      <w:r>
        <w:rPr>
          <w:rFonts w:ascii="Times New Roman" w:hAnsi="Times New Roman" w:eastAsia="仿宋_GB2312"/>
          <w:color w:val="000000"/>
          <w:kern w:val="2"/>
          <w:sz w:val="30"/>
          <w:szCs w:val="30"/>
        </w:rPr>
        <w:t>曾获得科技创新创业人才项目资助的不能</w:t>
      </w:r>
      <w:r>
        <w:rPr>
          <w:rFonts w:hint="eastAsia" w:ascii="Times New Roman" w:hAnsi="Times New Roman" w:eastAsia="仿宋_GB2312"/>
          <w:color w:val="000000"/>
          <w:kern w:val="2"/>
          <w:sz w:val="30"/>
          <w:szCs w:val="30"/>
        </w:rPr>
        <w:t>再次</w:t>
      </w:r>
      <w:r>
        <w:rPr>
          <w:rFonts w:ascii="Times New Roman" w:hAnsi="Times New Roman" w:eastAsia="仿宋_GB2312"/>
          <w:color w:val="000000"/>
          <w:kern w:val="2"/>
          <w:sz w:val="30"/>
          <w:szCs w:val="30"/>
        </w:rPr>
        <w:t>申报苗子工程项目；曾获得科技创新人才项目资助的不能再次申报科技创新人才项目，可以申报科技创业人才项目</w:t>
      </w:r>
      <w:r>
        <w:rPr>
          <w:rFonts w:hint="eastAsia" w:ascii="Times New Roman" w:hAnsi="Times New Roman" w:eastAsia="仿宋_GB2312"/>
          <w:color w:val="000000"/>
          <w:kern w:val="2"/>
          <w:sz w:val="30"/>
          <w:szCs w:val="30"/>
        </w:rPr>
        <w:t>；</w:t>
      </w:r>
      <w:r>
        <w:rPr>
          <w:rFonts w:ascii="Times New Roman" w:hAnsi="Times New Roman" w:eastAsia="仿宋_GB2312"/>
          <w:color w:val="000000"/>
          <w:kern w:val="2"/>
          <w:sz w:val="30"/>
          <w:szCs w:val="30"/>
        </w:rPr>
        <w:t>曾获得科技创业人才项目资助的不能再次申报科技创业人才项目，可以申报科技创新人才项目。</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hint="eastAsia" w:ascii="楷体" w:hAnsi="楷体" w:eastAsia="楷体"/>
          <w:color w:val="000000"/>
          <w:kern w:val="2"/>
          <w:sz w:val="30"/>
          <w:szCs w:val="30"/>
        </w:rPr>
      </w:pPr>
      <w:r>
        <w:rPr>
          <w:rFonts w:hint="eastAsia" w:ascii="楷体" w:hAnsi="楷体" w:eastAsia="楷体"/>
          <w:color w:val="000000"/>
          <w:kern w:val="2"/>
          <w:sz w:val="30"/>
          <w:szCs w:val="30"/>
        </w:rPr>
        <w:t>（二）限项要求。</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hint="eastAsia"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科技创新人才项目原则上“双一流”高校限报5个/家，其他高校、科研院所和企业限报2个/家；科技创业人才项目企业限报1个/家；苗子工程重点项目原则上“双一流”高校限报7个/家，中央在川单位、省属高校和省属科研院所限报4个/家，其他科研院所和企业限报2个/家。</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hint="eastAsia" w:ascii="楷体" w:hAnsi="楷体" w:eastAsia="楷体"/>
          <w:color w:val="000000"/>
          <w:kern w:val="2"/>
          <w:sz w:val="30"/>
          <w:szCs w:val="30"/>
        </w:rPr>
      </w:pPr>
      <w:r>
        <w:rPr>
          <w:rFonts w:ascii="楷体" w:hAnsi="楷体" w:eastAsia="楷体"/>
          <w:color w:val="000000"/>
          <w:kern w:val="2"/>
          <w:sz w:val="30"/>
          <w:szCs w:val="30"/>
        </w:rPr>
        <w:t>（</w:t>
      </w:r>
      <w:r>
        <w:rPr>
          <w:rFonts w:hint="eastAsia" w:ascii="楷体" w:hAnsi="楷体" w:eastAsia="楷体"/>
          <w:color w:val="000000"/>
          <w:kern w:val="2"/>
          <w:sz w:val="30"/>
          <w:szCs w:val="30"/>
        </w:rPr>
        <w:t>三</w:t>
      </w:r>
      <w:r>
        <w:rPr>
          <w:rFonts w:ascii="楷体" w:hAnsi="楷体" w:eastAsia="楷体"/>
          <w:color w:val="000000"/>
          <w:kern w:val="2"/>
          <w:sz w:val="30"/>
          <w:szCs w:val="30"/>
        </w:rPr>
        <w:t>）</w:t>
      </w:r>
      <w:r>
        <w:rPr>
          <w:rFonts w:hint="eastAsia" w:ascii="楷体" w:hAnsi="楷体" w:eastAsia="楷体"/>
          <w:color w:val="000000"/>
          <w:kern w:val="2"/>
          <w:sz w:val="30"/>
          <w:szCs w:val="30"/>
        </w:rPr>
        <w:t>申报方式。</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hint="eastAsia"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科技创新人才项目、科技创业人才项目、苗子工程重点项目在四川省科技管理信息系统（</w:t>
      </w:r>
      <w:r>
        <w:rPr>
          <w:rFonts w:ascii="Times New Roman" w:hAnsi="Times New Roman" w:eastAsia="仿宋_GB2312"/>
          <w:color w:val="000000"/>
          <w:kern w:val="2"/>
          <w:sz w:val="30"/>
          <w:szCs w:val="30"/>
        </w:rPr>
        <w:t>http://202.61.89.120/</w:t>
      </w:r>
      <w:r>
        <w:rPr>
          <w:rFonts w:hint="eastAsia" w:ascii="Times New Roman" w:hAnsi="Times New Roman" w:eastAsia="仿宋_GB2312"/>
          <w:color w:val="000000"/>
          <w:kern w:val="2"/>
          <w:sz w:val="30"/>
          <w:szCs w:val="30"/>
        </w:rPr>
        <w:t>）按流程申报，不需要报送纸质申报材料；</w:t>
      </w:r>
      <w:r>
        <w:rPr>
          <w:rFonts w:ascii="Times New Roman" w:hAnsi="Times New Roman" w:eastAsia="仿宋_GB2312"/>
          <w:color w:val="000000"/>
          <w:kern w:val="2"/>
          <w:sz w:val="30"/>
          <w:szCs w:val="30"/>
        </w:rPr>
        <w:t>苗子工程培育项目在四川科技创新苗子工程服务平台（http://mzgc.tccxfw.com/）按流程申报，不需要报送纸质申报材料。</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hint="eastAsia" w:ascii="楷体" w:hAnsi="楷体" w:eastAsia="楷体"/>
          <w:color w:val="000000"/>
          <w:kern w:val="2"/>
          <w:sz w:val="30"/>
          <w:szCs w:val="30"/>
        </w:rPr>
      </w:pPr>
      <w:r>
        <w:rPr>
          <w:rFonts w:ascii="楷体" w:hAnsi="楷体" w:eastAsia="楷体"/>
          <w:color w:val="000000"/>
          <w:kern w:val="2"/>
          <w:sz w:val="30"/>
          <w:szCs w:val="30"/>
        </w:rPr>
        <w:t>（</w:t>
      </w:r>
      <w:r>
        <w:rPr>
          <w:rFonts w:hint="eastAsia" w:ascii="楷体" w:hAnsi="楷体" w:eastAsia="楷体"/>
          <w:color w:val="000000"/>
          <w:kern w:val="2"/>
          <w:sz w:val="30"/>
          <w:szCs w:val="30"/>
        </w:rPr>
        <w:t>四</w:t>
      </w:r>
      <w:r>
        <w:rPr>
          <w:rFonts w:ascii="楷体" w:hAnsi="楷体" w:eastAsia="楷体"/>
          <w:color w:val="000000"/>
          <w:kern w:val="2"/>
          <w:sz w:val="30"/>
          <w:szCs w:val="30"/>
        </w:rPr>
        <w:t>）申报书填写注意事项。</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1.</w:t>
      </w:r>
      <w:r>
        <w:rPr>
          <w:rFonts w:ascii="Times New Roman" w:hAnsi="Times New Roman" w:eastAsia="仿宋_GB2312"/>
          <w:color w:val="000000"/>
          <w:kern w:val="2"/>
          <w:sz w:val="30"/>
          <w:szCs w:val="30"/>
        </w:rPr>
        <w:t>以企业为主体申报的项目，要求企业有1:1以上的配套资金投入。在申报书中需提供自筹资金证明。</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hint="eastAsia" w:ascii="Times New Roman" w:hAnsi="Times New Roman" w:eastAsia="仿宋_GB2312"/>
          <w:color w:val="000000"/>
          <w:kern w:val="2"/>
          <w:sz w:val="30"/>
          <w:szCs w:val="30"/>
        </w:rPr>
      </w:pPr>
      <w:r>
        <w:rPr>
          <w:rFonts w:ascii="Times New Roman" w:hAnsi="Times New Roman" w:eastAsia="仿宋_GB2312"/>
          <w:color w:val="000000"/>
          <w:kern w:val="2"/>
          <w:sz w:val="30"/>
          <w:szCs w:val="30"/>
        </w:rPr>
        <w:t>2.</w:t>
      </w:r>
      <w:r>
        <w:rPr>
          <w:rFonts w:hint="eastAsia" w:ascii="Times New Roman" w:hAnsi="Times New Roman" w:eastAsia="仿宋_GB2312"/>
          <w:color w:val="000000"/>
          <w:kern w:val="2"/>
          <w:sz w:val="30"/>
          <w:szCs w:val="30"/>
        </w:rPr>
        <w:t>合作申报的单位</w:t>
      </w:r>
      <w:r>
        <w:rPr>
          <w:rFonts w:ascii="Times New Roman" w:hAnsi="Times New Roman" w:eastAsia="仿宋_GB2312"/>
          <w:color w:val="000000"/>
          <w:kern w:val="2"/>
          <w:sz w:val="30"/>
          <w:szCs w:val="30"/>
        </w:rPr>
        <w:t>须在网上申报系统上传</w:t>
      </w:r>
      <w:r>
        <w:rPr>
          <w:rFonts w:hint="eastAsia" w:ascii="Times New Roman" w:hAnsi="Times New Roman" w:eastAsia="仿宋_GB2312"/>
          <w:color w:val="000000"/>
          <w:kern w:val="2"/>
          <w:sz w:val="30"/>
          <w:szCs w:val="30"/>
        </w:rPr>
        <w:t>合作</w:t>
      </w:r>
      <w:r>
        <w:rPr>
          <w:rFonts w:ascii="Times New Roman" w:hAnsi="Times New Roman" w:eastAsia="仿宋_GB2312"/>
          <w:color w:val="000000"/>
          <w:kern w:val="2"/>
          <w:sz w:val="30"/>
          <w:szCs w:val="30"/>
        </w:rPr>
        <w:t>协议</w:t>
      </w:r>
      <w:r>
        <w:rPr>
          <w:rFonts w:hint="eastAsia" w:ascii="Times New Roman" w:hAnsi="Times New Roman" w:eastAsia="仿宋_GB2312"/>
          <w:color w:val="000000"/>
          <w:kern w:val="2"/>
          <w:sz w:val="30"/>
          <w:szCs w:val="30"/>
        </w:rPr>
        <w:t>，</w:t>
      </w:r>
      <w:r>
        <w:rPr>
          <w:rFonts w:ascii="Times New Roman" w:hAnsi="Times New Roman" w:eastAsia="仿宋_GB2312"/>
          <w:color w:val="000000"/>
          <w:kern w:val="2"/>
          <w:sz w:val="30"/>
          <w:szCs w:val="30"/>
        </w:rPr>
        <w:t>合作双方不能有从属关系。</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3.所有支撑材料原件扫描后作为附件在四川省科技管理信息系统在线上传。</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科技创新创业人才及苗子工程重点项目</w:t>
      </w:r>
      <w:r>
        <w:rPr>
          <w:rFonts w:ascii="Times New Roman" w:hAnsi="Times New Roman" w:eastAsia="仿宋_GB2312"/>
          <w:color w:val="000000"/>
          <w:kern w:val="2"/>
          <w:sz w:val="30"/>
          <w:szCs w:val="30"/>
        </w:rPr>
        <w:t>联系人：叶千</w:t>
      </w:r>
      <w:r>
        <w:rPr>
          <w:rFonts w:hint="eastAsia" w:ascii="Times New Roman" w:hAnsi="Times New Roman" w:eastAsia="仿宋_GB2312"/>
          <w:color w:val="000000"/>
          <w:kern w:val="2"/>
          <w:sz w:val="30"/>
          <w:szCs w:val="30"/>
        </w:rPr>
        <w:t>，</w:t>
      </w:r>
      <w:r>
        <w:rPr>
          <w:rFonts w:ascii="Times New Roman" w:hAnsi="Times New Roman" w:eastAsia="仿宋_GB2312"/>
          <w:color w:val="000000"/>
          <w:kern w:val="2"/>
          <w:sz w:val="30"/>
          <w:szCs w:val="30"/>
        </w:rPr>
        <w:t>028</w:t>
      </w:r>
      <w:r>
        <w:rPr>
          <w:rFonts w:hint="eastAsia" w:ascii="Times New Roman" w:hAnsi="Times New Roman" w:eastAsia="仿宋_GB2312"/>
          <w:color w:val="000000"/>
          <w:kern w:val="2"/>
          <w:sz w:val="30"/>
          <w:szCs w:val="30"/>
        </w:rPr>
        <w:t>—</w:t>
      </w:r>
      <w:r>
        <w:rPr>
          <w:rFonts w:ascii="Times New Roman" w:hAnsi="Times New Roman" w:eastAsia="仿宋_GB2312"/>
          <w:color w:val="000000"/>
          <w:kern w:val="2"/>
          <w:sz w:val="30"/>
          <w:szCs w:val="30"/>
        </w:rPr>
        <w:t>86728520</w:t>
      </w:r>
      <w:r>
        <w:rPr>
          <w:rFonts w:hint="eastAsia" w:ascii="Times New Roman" w:hAnsi="Times New Roman" w:eastAsia="仿宋_GB2312"/>
          <w:color w:val="000000"/>
          <w:kern w:val="2"/>
          <w:sz w:val="30"/>
          <w:szCs w:val="30"/>
        </w:rPr>
        <w:t>；孙开艳，028</w:t>
      </w:r>
      <w:r>
        <w:rPr>
          <w:rFonts w:hint="eastAsia" w:ascii="Times New Roman" w:hAnsi="Times New Roman" w:eastAsia="仿宋_GB2312"/>
          <w:color w:val="000000"/>
          <w:spacing w:val="-4"/>
          <w:sz w:val="30"/>
          <w:szCs w:val="30"/>
        </w:rPr>
        <w:t>—</w:t>
      </w:r>
      <w:r>
        <w:rPr>
          <w:rFonts w:hint="eastAsia" w:ascii="Times New Roman" w:hAnsi="Times New Roman" w:eastAsia="仿宋_GB2312"/>
          <w:color w:val="000000"/>
          <w:kern w:val="2"/>
          <w:sz w:val="30"/>
          <w:szCs w:val="30"/>
        </w:rPr>
        <w:t>86668540；王建红，028—86725579。</w:t>
      </w:r>
    </w:p>
    <w:p>
      <w:pPr>
        <w:keepNext w:val="0"/>
        <w:keepLines w:val="0"/>
        <w:pageBreakBefore w:val="0"/>
        <w:widowControl w:val="0"/>
        <w:kinsoku/>
        <w:wordWrap/>
        <w:overflowPunct/>
        <w:topLinePunct w:val="0"/>
        <w:autoSpaceDE/>
        <w:autoSpaceDN/>
        <w:bidi w:val="0"/>
        <w:adjustRightInd/>
        <w:snapToGrid/>
        <w:spacing w:after="0" w:line="360" w:lineRule="exact"/>
        <w:ind w:firstLine="641"/>
        <w:jc w:val="both"/>
        <w:textAlignment w:val="auto"/>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苗子工程培育项目联系人：肖钦引，028—85242143。</w:t>
      </w:r>
    </w:p>
    <w:p>
      <w:pPr>
        <w:pStyle w:val="7"/>
        <w:keepNext w:val="0"/>
        <w:keepLines w:val="0"/>
        <w:pageBreakBefore w:val="0"/>
        <w:widowControl/>
        <w:kinsoku/>
        <w:wordWrap/>
        <w:overflowPunct/>
        <w:topLinePunct w:val="0"/>
        <w:autoSpaceDE/>
        <w:autoSpaceDN/>
        <w:bidi w:val="0"/>
        <w:adjustRightInd/>
        <w:snapToGrid/>
        <w:spacing w:line="360" w:lineRule="exact"/>
        <w:ind w:firstLine="600" w:firstLineChars="200"/>
        <w:jc w:val="left"/>
        <w:textAlignment w:val="auto"/>
        <w:rPr>
          <w:rFonts w:hint="eastAsia" w:eastAsia="楷体_GB2312"/>
          <w:sz w:val="30"/>
          <w:szCs w:val="30"/>
          <w:lang w:val="en-US" w:eastAsia="zh-CN"/>
        </w:rPr>
      </w:pPr>
      <w:r>
        <w:rPr>
          <w:rFonts w:hint="eastAsia" w:ascii="Times New Roman" w:hAnsi="Times New Roman" w:eastAsia="仿宋_GB2312"/>
          <w:color w:val="000000"/>
          <w:kern w:val="2"/>
          <w:sz w:val="30"/>
          <w:szCs w:val="30"/>
        </w:rPr>
        <w:t>苗子工程培育项目技术支持：张雨，028—85249950。</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Arial"/>
        <w:kern w:val="2"/>
        <w:sz w:val="18"/>
        <w:szCs w:val="18"/>
        <w:lang w:val="en-US" w:eastAsia="zh-CN" w:bidi="ar-SA"/>
      </w:rPr>
    </w:pPr>
    <w:r>
      <w:rPr>
        <w:rFonts w:ascii="Times New Roman" w:hAnsi="Times New Roman" w:eastAsia="仿宋_GB2312"/>
        <w:sz w:val="18"/>
        <w:szCs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-77470</wp:posOffset>
              </wp:positionV>
              <wp:extent cx="1109980" cy="292100"/>
              <wp:effectExtent l="0" t="0" r="0" b="0"/>
              <wp:wrapNone/>
              <wp:docPr id="1" name="文本框 99"/>
              <wp:cNvGraphicFramePr/>
              <a:graphic xmlns:a="http://schemas.openxmlformats.org/drawingml/2006/main">
                <a:graphicData uri="http://schemas.microsoft.com/office/word/2010/wordprocessingShape">
                  <wps:wsp>
                    <wps:cNvSpPr txBox="1"/>
                    <wps:spPr>
                      <a:xfrm>
                        <a:off x="0" y="0"/>
                        <a:ext cx="1109980" cy="292100"/>
                      </a:xfrm>
                      <a:prstGeom prst="rect">
                        <a:avLst/>
                      </a:prstGeom>
                      <a:noFill/>
                      <a:ln w="6350">
                        <a:noFill/>
                      </a:ln>
                    </wps:spPr>
                    <wps:txbx>
                      <w:txbxContent>
                        <w:p>
                          <w:pPr>
                            <w:pStyle w:val="6"/>
                            <w:widowControl/>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square" lIns="0" tIns="0" rIns="0" bIns="0" upright="0"/>
                  </wps:wsp>
                </a:graphicData>
              </a:graphic>
            </wp:anchor>
          </w:drawing>
        </mc:Choice>
        <mc:Fallback>
          <w:pict>
            <v:shape id="文本框 99" o:spid="_x0000_s1026" o:spt="202" type="#_x0000_t202" style="position:absolute;left:0pt;margin-top:-6.1pt;height:23pt;width:87.4pt;mso-position-horizontal:outside;mso-position-horizontal-relative:margin;z-index:251659264;mso-width-relative:page;mso-height-relative:page;" filled="f" stroked="f" coordsize="21600,21600" o:gfxdata="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UTaltYAAAAHAQAADwAAAAAAAAABACAAAAAiAAAAZHJz&#10;L2Rvd25yZXYueG1sUEsBAhQAFAAAAAgAh07iQGD26D/NAQAAigMAAA4AAAAAAAAAAQAgAAAAJQEA&#10;AGRycy9lMm9Eb2MueG1sUEsFBgAAAAAGAAYAWQEAAGQFAAAAAA==&#10;">
              <v:fill on="f" focussize="0,0"/>
              <v:stroke on="f" weight="0.5pt"/>
              <v:imagedata o:title=""/>
              <o:lock v:ext="edit" aspectratio="f"/>
              <v:textbox inset="0mm,0mm,0mm,0mm">
                <w:txbxContent>
                  <w:p>
                    <w:pPr>
                      <w:pStyle w:val="6"/>
                      <w:widowControl/>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jc w:val="lef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-77470</wp:posOffset>
              </wp:positionV>
              <wp:extent cx="1235710" cy="263525"/>
              <wp:effectExtent l="0" t="0" r="0" b="0"/>
              <wp:wrapNone/>
              <wp:docPr id="2" name="文本框 100"/>
              <wp:cNvGraphicFramePr/>
              <a:graphic xmlns:a="http://schemas.openxmlformats.org/drawingml/2006/main">
                <a:graphicData uri="http://schemas.microsoft.com/office/word/2010/wordprocessingShape">
                  <wps:wsp>
                    <wps:cNvSpPr txBox="1"/>
                    <wps:spPr>
                      <a:xfrm>
                        <a:off x="0" y="0"/>
                        <a:ext cx="1235710" cy="263525"/>
                      </a:xfrm>
                      <a:prstGeom prst="rect">
                        <a:avLst/>
                      </a:prstGeom>
                      <a:noFill/>
                      <a:ln w="6350">
                        <a:noFill/>
                      </a:ln>
                    </wps:spPr>
                    <wps:txbx>
                      <w:txbxContent>
                        <w:p>
                          <w:pPr>
                            <w:pStyle w:val="6"/>
                            <w:widowControl/>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square" lIns="0" tIns="0" rIns="0" bIns="0" upright="0"/>
                  </wps:wsp>
                </a:graphicData>
              </a:graphic>
            </wp:anchor>
          </w:drawing>
        </mc:Choice>
        <mc:Fallback>
          <w:pict>
            <v:shape id="文本框 100" o:spid="_x0000_s1026" o:spt="202" type="#_x0000_t202" style="position:absolute;left:0pt;margin-top:-6.1pt;height:20.75pt;width:97.3pt;mso-position-horizontal:outside;mso-position-horizontal-relative:margin;z-index:251660288;mso-width-relative:page;mso-height-relative:page;" filled="f" stroked="f" coordsize="21600,21600" o:gfxdata="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dihLXWAAAABwEAAA8AAAAAAAAAAQAgAAAAIgAAAGRycy9k&#10;b3ducmV2LnhtbFBLAQIUABQAAAAIAIdO4kCC/FifywEAAIsDAAAOAAAAAAAAAAEAIAAAACUBAABk&#10;cnMvZTJvRG9jLnhtbFBLBQYAAAAABgAGAFkBAABiBQAAAAA=&#10;">
              <v:fill on="f" focussize="0,0"/>
              <v:stroke on="f" weight="0.5pt"/>
              <v:imagedata o:title=""/>
              <o:lock v:ext="edit" aspectratio="f"/>
              <v:textbox inset="0mm,0mm,0mm,0mm">
                <w:txbxContent>
                  <w:p>
                    <w:pPr>
                      <w:pStyle w:val="6"/>
                      <w:widowControl/>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301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AE482"/>
    <w:multiLevelType w:val="singleLevel"/>
    <w:tmpl w:val="FFBAE4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0525DF0"/>
    <w:rsid w:val="BFEFA4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next w:val="3"/>
    <w:unhideWhenUsed/>
    <w:qFormat/>
    <w:uiPriority w:val="0"/>
    <w:pPr>
      <w:spacing w:after="120"/>
    </w:pPr>
    <w:rPr>
      <w:rFonts w:ascii="Times New Roman" w:hAnsi="Times New Roman" w:eastAsia="仿宋_GB2312" w:cs="Times New Roman"/>
      <w:kern w:val="2"/>
      <w:sz w:val="32"/>
      <w:szCs w:val="20"/>
      <w:lang w:val="en-US" w:eastAsia="zh-CN" w:bidi="ar-SA"/>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Indent"/>
    <w:qFormat/>
    <w:uiPriority w:val="0"/>
    <w:pPr>
      <w:spacing w:after="120"/>
      <w:ind w:left="420" w:leftChars="200"/>
    </w:pPr>
    <w:rPr>
      <w:rFonts w:ascii="Times New Roman" w:hAnsi="Times New Roman" w:eastAsia="仿宋_GB2312" w:cs="Times New Roman"/>
      <w:kern w:val="2"/>
      <w:sz w:val="32"/>
      <w:szCs w:val="20"/>
      <w:lang w:val="en-US" w:eastAsia="zh-CN" w:bidi="ar-SA"/>
    </w:rPr>
  </w:style>
  <w:style w:type="paragraph" w:styleId="5">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6">
    <w:name w:val="footer"/>
    <w:unhideWhenUsed/>
    <w:qFormat/>
    <w:uiPriority w:val="99"/>
    <w:pPr>
      <w:tabs>
        <w:tab w:val="center" w:pos="4153"/>
        <w:tab w:val="right" w:pos="8306"/>
      </w:tabs>
      <w:snapToGrid w:val="0"/>
    </w:pPr>
    <w:rPr>
      <w:rFonts w:ascii="Calibri" w:hAnsi="Calibri" w:eastAsia="宋体" w:cs="Arial"/>
      <w:kern w:val="2"/>
      <w:sz w:val="18"/>
      <w:szCs w:val="18"/>
      <w:lang w:val="en-US" w:eastAsia="zh-CN" w:bidi="ar-SA"/>
    </w:rPr>
  </w:style>
  <w:style w:type="paragraph" w:styleId="7">
    <w:name w:val="Body Text First Indent"/>
    <w:unhideWhenUsed/>
    <w:qFormat/>
    <w:uiPriority w:val="0"/>
    <w:pPr>
      <w:spacing w:after="120"/>
      <w:ind w:firstLine="420" w:firstLineChars="100"/>
    </w:pPr>
    <w:rPr>
      <w:rFonts w:ascii="Times New Roman" w:hAnsi="Times New Roman" w:eastAsia="仿宋_GB2312" w:cs="Times New Roman"/>
      <w:kern w:val="2"/>
      <w:sz w:val="32"/>
      <w:szCs w:val="20"/>
      <w:lang w:val="en-US" w:eastAsia="zh-CN" w:bidi="ar-SA"/>
    </w:rPr>
  </w:style>
  <w:style w:type="paragraph" w:styleId="8">
    <w:name w:val="Body Text First Indent 2"/>
    <w:next w:val="1"/>
    <w:qFormat/>
    <w:uiPriority w:val="0"/>
    <w:pPr>
      <w:spacing w:after="120"/>
      <w:ind w:left="420" w:leftChars="200" w:firstLine="420"/>
    </w:pPr>
    <w:rPr>
      <w:rFonts w:ascii="Times New Roman" w:hAnsi="Times New Roman" w:eastAsia="仿宋_GB2312"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42131</Words>
  <Characters>43091</Characters>
  <Lines>0</Lines>
  <Paragraphs>0</Paragraphs>
  <TotalTime>0</TotalTime>
  <ScaleCrop>false</ScaleCrop>
  <LinksUpToDate>false</LinksUpToDate>
  <CharactersWithSpaces>43158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科研处与发展规划处</cp:lastModifiedBy>
  <dcterms:modified xsi:type="dcterms:W3CDTF">2022-08-22T08:40:46Z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1123CEFD854D4E77A1587AC579ECE99E</vt:lpwstr>
  </property>
</Properties>
</file>