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Hiragino Sans GB W3" w:eastAsia="仿宋_GB2312"/>
          <w:sz w:val="36"/>
        </w:rPr>
      </w:pPr>
      <w:r>
        <w:rPr>
          <w:rFonts w:hint="eastAsia" w:ascii="仿宋_GB2312" w:hAnsi="Hiragino Sans GB W3" w:eastAsia="仿宋_GB2312"/>
          <w:sz w:val="36"/>
        </w:rPr>
        <w:t>附件1:</w:t>
      </w:r>
    </w:p>
    <w:p>
      <w:pPr>
        <w:jc w:val="center"/>
        <w:rPr>
          <w:rFonts w:ascii="方正小标宋简体" w:hAnsi="Hiragino Sans GB W3" w:eastAsia="方正小标宋简体"/>
          <w:sz w:val="36"/>
        </w:rPr>
      </w:pPr>
      <w:r>
        <w:rPr>
          <w:rFonts w:hint="eastAsia" w:ascii="方正小标宋简体" w:hAnsi="Hiragino Sans GB W3" w:eastAsia="方正小标宋简体"/>
          <w:sz w:val="36"/>
        </w:rPr>
        <w:t>2020年网络思想政治教育研究课题</w:t>
      </w:r>
    </w:p>
    <w:p>
      <w:pPr>
        <w:jc w:val="center"/>
        <w:rPr>
          <w:rFonts w:ascii="方正小标宋简体" w:hAnsi="Hiragino Sans GB W3" w:eastAsia="方正小标宋简体"/>
          <w:sz w:val="36"/>
        </w:rPr>
      </w:pPr>
      <w:r>
        <w:rPr>
          <w:rFonts w:hint="eastAsia" w:ascii="方正小标宋简体" w:hAnsi="Hiragino Sans GB W3" w:eastAsia="方正小标宋简体"/>
          <w:sz w:val="36"/>
        </w:rPr>
        <w:t>立项一览表</w:t>
      </w:r>
    </w:p>
    <w:tbl>
      <w:tblPr>
        <w:tblStyle w:val="3"/>
        <w:tblW w:w="9634" w:type="dxa"/>
        <w:jc w:val="center"/>
        <w:tblInd w:w="0" w:type="dxa"/>
        <w:tblLayout w:type="fixed"/>
        <w:tblCellMar>
          <w:top w:w="0" w:type="dxa"/>
          <w:left w:w="108" w:type="dxa"/>
          <w:bottom w:w="0" w:type="dxa"/>
          <w:right w:w="108" w:type="dxa"/>
        </w:tblCellMar>
      </w:tblPr>
      <w:tblGrid>
        <w:gridCol w:w="460"/>
        <w:gridCol w:w="820"/>
        <w:gridCol w:w="2401"/>
        <w:gridCol w:w="3544"/>
        <w:gridCol w:w="1134"/>
        <w:gridCol w:w="1275"/>
      </w:tblGrid>
      <w:tr>
        <w:tblPrEx>
          <w:tblLayout w:type="fixed"/>
          <w:tblCellMar>
            <w:top w:w="0" w:type="dxa"/>
            <w:left w:w="108" w:type="dxa"/>
            <w:bottom w:w="0" w:type="dxa"/>
            <w:right w:w="108" w:type="dxa"/>
          </w:tblCellMar>
        </w:tblPrEx>
        <w:trPr>
          <w:trHeight w:val="675"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序号</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姓名</w:t>
            </w:r>
          </w:p>
        </w:tc>
        <w:tc>
          <w:tcPr>
            <w:tcW w:w="24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学校</w:t>
            </w:r>
          </w:p>
        </w:tc>
        <w:tc>
          <w:tcPr>
            <w:tcW w:w="354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课题题目</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课题类别</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课题编号</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徐海鑫</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基于疫情防控的高校网络思想政治工作育人研究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重点</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WSZ20-01</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曹银忠</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电子科技大学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疫情防控期间高校网络思想政治工作体系建构路径研究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重点</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WSZ20-02</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李春成</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四川水利职业技术学院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新时代中国特色社会主义思想宣传教育路径研究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重点</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WSZ20-03</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王强</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西华大学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基于网络新媒体的爱国主义教育研究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重点</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WSZ20-04</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杨波</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四川华新现代职业学院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后疫情时代高校思政课网络课堂教学实效性研究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重点</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WSZ20-05</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周月</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四川旅游学院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新媒体环境下“00后”大学生网络素养培育研究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WSZ20-06</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田川</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川南幼儿师范高等专科院校</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协同发展视角下成渝高校网络思政教育资源共建共享机制研究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WSZ20-07</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陈程</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四川大学锦城学院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短视频社交平台对大学生社会主义核心价值观培育的影响及对策研究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WSZ20-08</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秦慧 </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西南财经大学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高校网络育人质量提升对策研究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WSZ20-09</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陈从楷</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四川农业大学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新媒体视域下青年亚文化生成规律及引导策略研究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WSZ20-10</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孟凡春</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西南交通大学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大学生网络素养教育内容、载体及其机制研究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WSZ20-11</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佘朝虎 </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攀枝花学院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基于云端教学的网络思政有效性研究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WSZ20-12</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邢敏</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成都航空职业技术学院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互联网思维视域下高校思政课供给侧改革研究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WSZ20-13</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何琪蕾</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电子科技大学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校园融媒体建设创新机制研究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WSZ20-14</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刘璇</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四川邮电职业技术学院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网络新媒体视域下高职院校“00后”大学生爱国情怀的实证调查与提升路径研究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WSZ20-15</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蒋雪梅</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内江师范学院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高校大学生网络风险有效应对研究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WSZ20-16</w:t>
            </w:r>
          </w:p>
        </w:tc>
      </w:tr>
      <w:tr>
        <w:tblPrEx>
          <w:tblLayout w:type="fixed"/>
          <w:tblCellMar>
            <w:top w:w="0" w:type="dxa"/>
            <w:left w:w="108" w:type="dxa"/>
            <w:bottom w:w="0" w:type="dxa"/>
            <w:right w:w="108" w:type="dxa"/>
          </w:tblCellMar>
        </w:tblPrEx>
        <w:trPr>
          <w:trHeight w:val="675"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任凯利</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西南交通大学</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重大突发公共事件下高校网络舆情引导与心理健康教育协同机制研究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WSZ20-17</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王娇</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西南科技大学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高校网络舆情的引导与管理模式研究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WSZ20-18</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罗文</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西南财经大学天府学院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微传播时代下的高校网络舆情风险管理研究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WSZ20-19</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蒋建华</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四川现代职业学院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“互联网+”环境下高职院校00后学生思想和行为的新呈现及对策研究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WSZ20-20</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付婷婷</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成都理工大学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新时代中国特色社会主义思想视阈下大学生思想政治教育精准化研究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WSZ20-21</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柯黎</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西昌民族幼儿师范高等专科学校</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民族地区高校基于大数据的思想政治教育精准化研究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WSZ20-22</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曹于亚</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广安职业技术学院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新媒体时代高校辅导员思想政治教育网络话语能力的提升路径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WSZ20-23</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邓黎颜</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川北医学院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四川省大学生网络思想政治教育内化逻辑及实践路径研究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WSZ20-24</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郑江华</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四川工业科技学院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民办高校网络育人价值生成机制与实现途径研究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WSZ20-25</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周鹏</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绵阳师范学院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基于互联网思维的大学新生入学教育前置研究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WSZ20-26</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赵海林</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攀枝花攀西职业学院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高职院校网络育人体系构建研究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WSZ20-27</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侯幸</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高校网络育人价值的生成机制与实现路径研究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WSZ20-28</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陈勋玮</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乐山师范学院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新媒体时代高校辅导员网络话语能力新提升研究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WSZ20-29</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卢婕</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成都信息工程大学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疫情防控期间网络环境下高校英语专业课程思政教育策略研究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WSZ20-30</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李金平</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成都师范学院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基于“易班”网络平台的高校辅导员思政教育话语能力提升策略研究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WSZ20-31</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赵春</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四川艺术职业学院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疫情背景下高职院校网络思想政治理论课教学效果评价体系研究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WSZ20-32</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李阳荣</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新媒体环境下高职院校思想政治理论课在线教学创新研究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WSZ20-33</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杨玲</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四川商务职业学院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大数据时代高职院校思想政治教育模式创新研究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WSZ20-34</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颉睿</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西南财经大学天府学院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大数据背景下习近平新时代中国特色社会主义思想“三进”精准路径研究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WSZ20-35</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周建胜</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天府新区信息职业学院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基于自媒体平台的民办高职院校网络舆情监管及引导机制研究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WSZ20-36</w:t>
            </w:r>
          </w:p>
        </w:tc>
      </w:tr>
      <w:tr>
        <w:tblPrEx>
          <w:tblLayout w:type="fixed"/>
          <w:tblCellMar>
            <w:top w:w="0" w:type="dxa"/>
            <w:left w:w="108" w:type="dxa"/>
            <w:bottom w:w="0" w:type="dxa"/>
            <w:right w:w="108" w:type="dxa"/>
          </w:tblCellMar>
        </w:tblPrEx>
        <w:trPr>
          <w:trHeight w:val="675"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李定萍</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四川司法警官职业学院</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微媒体环境下提升高校思想政治教育精准化的多维度探索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WSZ20-37</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黄茂才</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四川航天职业技术学院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网络育人价值的生成机制与实现路径研究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WSZ20-38</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白雪</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四川文理学院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高校网络思政教育资源共建共享机制研究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WSZ20-39</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彭玉凌</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成都大学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网络生态系统中大学生“公共人”意识培育研究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WSZ20-40</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41</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廖程静</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四川护理职业学院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社会燃烧理论视域下的高校网络舆情预警机制研究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WSZ20-41</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42</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钟学娥</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四川国际标榜职业学院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民办高校思想政治理论课网络课堂教学模式研究——以“毛泽东思想和中国特色社会主义理论体系概论”课为例</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WSZ20-42</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FF"/>
                <w:kern w:val="0"/>
                <w:sz w:val="20"/>
                <w:szCs w:val="20"/>
              </w:rPr>
            </w:pPr>
            <w:r>
              <w:rPr>
                <w:rFonts w:hint="eastAsia" w:ascii="仿宋_GB2312" w:hAnsi="仿宋_GB2312" w:eastAsia="仿宋_GB2312" w:cs="仿宋_GB2312"/>
                <w:color w:val="0000FF"/>
                <w:kern w:val="0"/>
                <w:sz w:val="20"/>
                <w:szCs w:val="20"/>
              </w:rPr>
              <w:t>43</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FF"/>
                <w:kern w:val="0"/>
                <w:sz w:val="20"/>
                <w:szCs w:val="20"/>
              </w:rPr>
            </w:pPr>
            <w:r>
              <w:rPr>
                <w:rFonts w:hint="eastAsia" w:ascii="仿宋_GB2312" w:hAnsi="仿宋_GB2312" w:eastAsia="仿宋_GB2312" w:cs="仿宋_GB2312"/>
                <w:color w:val="0000FF"/>
                <w:kern w:val="0"/>
                <w:sz w:val="20"/>
                <w:szCs w:val="20"/>
              </w:rPr>
              <w:t>刘红叶</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FF"/>
                <w:kern w:val="0"/>
                <w:sz w:val="20"/>
                <w:szCs w:val="20"/>
              </w:rPr>
            </w:pPr>
            <w:r>
              <w:rPr>
                <w:rFonts w:hint="eastAsia" w:ascii="仿宋_GB2312" w:hAnsi="仿宋_GB2312" w:eastAsia="仿宋_GB2312" w:cs="仿宋_GB2312"/>
                <w:color w:val="0000FF"/>
                <w:kern w:val="0"/>
                <w:sz w:val="20"/>
                <w:szCs w:val="20"/>
              </w:rPr>
              <w:t>四川传媒学院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FF"/>
                <w:kern w:val="0"/>
                <w:sz w:val="20"/>
                <w:szCs w:val="20"/>
              </w:rPr>
            </w:pPr>
            <w:r>
              <w:rPr>
                <w:rFonts w:hint="eastAsia" w:ascii="仿宋_GB2312" w:hAnsi="仿宋_GB2312" w:eastAsia="仿宋_GB2312" w:cs="仿宋_GB2312"/>
                <w:color w:val="0000FF"/>
                <w:kern w:val="0"/>
                <w:sz w:val="20"/>
                <w:szCs w:val="20"/>
              </w:rPr>
              <w:t>依托高校融媒体平台，探索思政教育实践育人长效机制研究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FF"/>
                <w:kern w:val="0"/>
                <w:sz w:val="20"/>
                <w:szCs w:val="20"/>
              </w:rPr>
            </w:pPr>
            <w:r>
              <w:rPr>
                <w:rFonts w:ascii="Times New Roman" w:hAnsi="Times New Roman" w:eastAsia="仿宋_GB2312" w:cs="Times New Roman"/>
                <w:color w:val="0000FF"/>
                <w:kern w:val="0"/>
                <w:sz w:val="20"/>
                <w:szCs w:val="20"/>
              </w:rPr>
              <w:t>一般</w:t>
            </w:r>
            <w:r>
              <w:rPr>
                <w:rFonts w:hint="eastAsia" w:ascii="仿宋_GB2312" w:hAnsi="仿宋_GB2312" w:eastAsia="仿宋_GB2312" w:cs="仿宋_GB2312"/>
                <w:color w:val="0000FF"/>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FF"/>
                <w:kern w:val="0"/>
                <w:sz w:val="20"/>
                <w:szCs w:val="20"/>
              </w:rPr>
            </w:pPr>
            <w:r>
              <w:rPr>
                <w:rFonts w:ascii="宋体" w:hAnsi="宋体" w:eastAsia="宋体" w:cs="宋体"/>
                <w:color w:val="0000FF"/>
                <w:kern w:val="0"/>
                <w:sz w:val="20"/>
                <w:szCs w:val="20"/>
              </w:rPr>
              <w:t>C</w:t>
            </w:r>
            <w:r>
              <w:rPr>
                <w:rFonts w:hint="eastAsia" w:ascii="宋体" w:hAnsi="宋体" w:eastAsia="宋体" w:cs="宋体"/>
                <w:color w:val="0000FF"/>
                <w:kern w:val="0"/>
                <w:sz w:val="20"/>
                <w:szCs w:val="20"/>
              </w:rPr>
              <w:t>J</w:t>
            </w:r>
            <w:r>
              <w:rPr>
                <w:rFonts w:ascii="宋体" w:hAnsi="宋体" w:eastAsia="宋体" w:cs="宋体"/>
                <w:color w:val="0000FF"/>
                <w:kern w:val="0"/>
                <w:sz w:val="20"/>
                <w:szCs w:val="20"/>
              </w:rPr>
              <w:t>WSZ20-43</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44</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张亚峰</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成都理工大学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新媒体时代成都高校网络舆情治理模式研究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WSZ20-44</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饶</w:t>
            </w:r>
            <w:bookmarkStart w:id="0" w:name="_GoBack"/>
            <w:bookmarkEnd w:id="0"/>
            <w:r>
              <w:rPr>
                <w:rFonts w:hint="eastAsia" w:ascii="仿宋_GB2312" w:hAnsi="仿宋_GB2312" w:eastAsia="仿宋_GB2312" w:cs="仿宋_GB2312"/>
                <w:color w:val="000000"/>
                <w:kern w:val="0"/>
                <w:sz w:val="20"/>
                <w:szCs w:val="20"/>
              </w:rPr>
              <w:t>泽欢</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四川师范大学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基于网络舆情引导的高校网络思想政治教育体系研究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WSZ20-45</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46</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高娜</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泸州职业技术学院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基于大数据的高职院校思想政治教育精准化研究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WSZ20-46</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47</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陈媛媛</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西南民族大学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在线教育模式下民族高校课程思政育人路径研究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WSZ20-47</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高杨</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四川警察学院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新媒体与高校思政课教育教学实践研究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WSZ20-48</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49</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刘珊珊</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西华师范大学</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基于大数据的高校思想政治教育精准化研究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WSZ20-49</w:t>
            </w:r>
          </w:p>
        </w:tc>
      </w:tr>
      <w:tr>
        <w:tblPrEx>
          <w:tblLayout w:type="fixed"/>
          <w:tblCellMar>
            <w:top w:w="0" w:type="dxa"/>
            <w:left w:w="108" w:type="dxa"/>
            <w:bottom w:w="0" w:type="dxa"/>
            <w:right w:w="108" w:type="dxa"/>
          </w:tblCellMar>
        </w:tblPrEx>
        <w:trPr>
          <w:trHeight w:val="67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50</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张立人</w:t>
            </w:r>
          </w:p>
        </w:tc>
        <w:tc>
          <w:tcPr>
            <w:tcW w:w="24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成都工业职业技术学院</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网络融入大学生思政教育的实践路径研究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一般</w:t>
            </w:r>
            <w:r>
              <w:rPr>
                <w:rFonts w:hint="eastAsia" w:ascii="仿宋_GB2312" w:hAnsi="仿宋_GB2312" w:eastAsia="仿宋_GB2312" w:cs="仿宋_GB2312"/>
                <w:color w:val="000000"/>
                <w:kern w:val="0"/>
                <w:sz w:val="20"/>
                <w:szCs w:val="20"/>
              </w:rPr>
              <w:t>课题</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C</w:t>
            </w:r>
            <w:r>
              <w:rPr>
                <w:rFonts w:hint="eastAsia" w:ascii="宋体" w:hAnsi="宋体" w:eastAsia="宋体" w:cs="宋体"/>
                <w:color w:val="000000"/>
                <w:kern w:val="0"/>
                <w:sz w:val="20"/>
                <w:szCs w:val="20"/>
              </w:rPr>
              <w:t>J</w:t>
            </w:r>
            <w:r>
              <w:rPr>
                <w:rFonts w:ascii="宋体" w:hAnsi="宋体" w:eastAsia="宋体" w:cs="宋体"/>
                <w:color w:val="000000"/>
                <w:kern w:val="0"/>
                <w:sz w:val="20"/>
                <w:szCs w:val="20"/>
              </w:rPr>
              <w:t>WSZ20-50</w:t>
            </w:r>
          </w:p>
        </w:tc>
      </w:tr>
    </w:tbl>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FZXiaoBiaoSong-B05S">
    <w:altName w:val="Calibri"/>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Hiragino Sans GB W3">
    <w:altName w:val="Segoe Print"/>
    <w:panose1 w:val="00000000000000000000"/>
    <w:charset w:val="80"/>
    <w:family w:val="swiss"/>
    <w:pitch w:val="default"/>
    <w:sig w:usb0="00000000" w:usb1="00000000" w:usb2="00000016" w:usb3="00000000" w:csb0="00060007" w:csb1="00000000"/>
  </w:font>
  <w:font w:name="方正小标宋简体">
    <w:altName w:val="微软雅黑"/>
    <w:panose1 w:val="02010601030101010101"/>
    <w:charset w:val="86"/>
    <w:family w:val="script"/>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DB"/>
    <w:rsid w:val="0002109F"/>
    <w:rsid w:val="00057402"/>
    <w:rsid w:val="00062EB8"/>
    <w:rsid w:val="00074990"/>
    <w:rsid w:val="001055FD"/>
    <w:rsid w:val="00122ADB"/>
    <w:rsid w:val="002D1BB8"/>
    <w:rsid w:val="00321A7E"/>
    <w:rsid w:val="00392CE1"/>
    <w:rsid w:val="00425CA8"/>
    <w:rsid w:val="004D5B76"/>
    <w:rsid w:val="00544AD1"/>
    <w:rsid w:val="005C2DE6"/>
    <w:rsid w:val="00677540"/>
    <w:rsid w:val="006F507C"/>
    <w:rsid w:val="007843B2"/>
    <w:rsid w:val="00900CFE"/>
    <w:rsid w:val="009A1145"/>
    <w:rsid w:val="009B66F7"/>
    <w:rsid w:val="00A530CB"/>
    <w:rsid w:val="00AC64BB"/>
    <w:rsid w:val="00AE6DE9"/>
    <w:rsid w:val="00B737D0"/>
    <w:rsid w:val="00BB57C7"/>
    <w:rsid w:val="00BC27C1"/>
    <w:rsid w:val="00BD53D9"/>
    <w:rsid w:val="00D33100"/>
    <w:rsid w:val="00D34B3C"/>
    <w:rsid w:val="00DC1C44"/>
    <w:rsid w:val="00E35E59"/>
    <w:rsid w:val="00E91CD3"/>
    <w:rsid w:val="5A0C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FZXiaoBiaoSong-B05S" w:hAnsi="FZXiaoBiaoSong-B05S" w:cs="FZXiaoBiaoSong-B05S"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424</Words>
  <Characters>2420</Characters>
  <Lines>20</Lines>
  <Paragraphs>5</Paragraphs>
  <TotalTime>0</TotalTime>
  <ScaleCrop>false</ScaleCrop>
  <LinksUpToDate>false</LinksUpToDate>
  <CharactersWithSpaces>2839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2020-10-26T03:59:00Z</dcterms:created>
  <dc:creator>Microsoft Office User</dc:creator>
  <cp:lastModifiedBy>Administrator</cp:lastModifiedBy>
  <dcterms:modified xsi:type="dcterms:W3CDTF">2020-11-02T06:54:03Z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